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25BC"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651626A0"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76881A1C" w:rsidR="00D261B4" w:rsidRPr="006812EF" w:rsidRDefault="00CA5086">
      <w:pPr>
        <w:pStyle w:val="Title"/>
        <w:spacing w:after="240"/>
        <w:ind w:left="-108" w:firstLine="108"/>
        <w:rPr>
          <w:b w:val="0"/>
          <w:sz w:val="22"/>
          <w:szCs w:val="22"/>
        </w:rPr>
      </w:pPr>
      <w:r w:rsidRPr="006812EF">
        <w:rPr>
          <w:sz w:val="22"/>
          <w:szCs w:val="22"/>
        </w:rPr>
        <w:t>Contract notice</w:t>
      </w:r>
      <w:r w:rsidR="00D261B4" w:rsidRPr="006812EF">
        <w:rPr>
          <w:sz w:val="22"/>
          <w:szCs w:val="22"/>
        </w:rPr>
        <w:t xml:space="preserve">: </w:t>
      </w:r>
      <w:r w:rsidR="003B1BA3" w:rsidRPr="006812EF">
        <w:rPr>
          <w:b w:val="0"/>
          <w:sz w:val="22"/>
          <w:szCs w:val="22"/>
        </w:rPr>
        <w:t>EUIPO/</w:t>
      </w:r>
      <w:r w:rsidR="006812EF" w:rsidRPr="006812EF">
        <w:rPr>
          <w:b w:val="0"/>
          <w:sz w:val="22"/>
          <w:szCs w:val="22"/>
        </w:rPr>
        <w:t>ALINPI</w:t>
      </w:r>
      <w:r w:rsidR="003B1BA3" w:rsidRPr="006812EF">
        <w:rPr>
          <w:b w:val="0"/>
          <w:sz w:val="22"/>
          <w:szCs w:val="22"/>
        </w:rPr>
        <w:t>/202</w:t>
      </w:r>
      <w:r w:rsidR="006812EF" w:rsidRPr="006812EF">
        <w:rPr>
          <w:b w:val="0"/>
          <w:sz w:val="22"/>
          <w:szCs w:val="22"/>
        </w:rPr>
        <w:t>2</w:t>
      </w:r>
      <w:r w:rsidR="003B1BA3" w:rsidRPr="006812EF">
        <w:rPr>
          <w:b w:val="0"/>
          <w:sz w:val="22"/>
          <w:szCs w:val="22"/>
        </w:rPr>
        <w:t>/EA-</w:t>
      </w:r>
      <w:r w:rsidR="006812EF" w:rsidRPr="006812EF">
        <w:rPr>
          <w:b w:val="0"/>
          <w:sz w:val="22"/>
          <w:szCs w:val="22"/>
        </w:rPr>
        <w:t>RP</w:t>
      </w:r>
      <w:r w:rsidR="003B1BA3" w:rsidRPr="006812EF">
        <w:rPr>
          <w:b w:val="0"/>
          <w:sz w:val="22"/>
          <w:szCs w:val="22"/>
        </w:rPr>
        <w:t>/01</w:t>
      </w:r>
    </w:p>
    <w:p w14:paraId="3A7DA5E5" w14:textId="2BE4038A" w:rsidR="00D261B4" w:rsidRDefault="006812EF" w:rsidP="006812EF">
      <w:pPr>
        <w:pStyle w:val="Title"/>
        <w:pBdr>
          <w:bottom w:val="single" w:sz="6" w:space="1" w:color="auto"/>
        </w:pBdr>
        <w:tabs>
          <w:tab w:val="clear" w:pos="-720"/>
          <w:tab w:val="left" w:pos="6912"/>
          <w:tab w:val="left" w:pos="8188"/>
          <w:tab w:val="left" w:pos="10031"/>
        </w:tabs>
        <w:spacing w:after="240"/>
        <w:rPr>
          <w:sz w:val="22"/>
          <w:szCs w:val="22"/>
          <w:lang w:val="en-GB"/>
        </w:rPr>
      </w:pPr>
      <w:r w:rsidRPr="006812EF">
        <w:rPr>
          <w:sz w:val="22"/>
          <w:szCs w:val="22"/>
          <w:lang w:val="en-GB"/>
        </w:rPr>
        <w:t xml:space="preserve">Provision of long-term Expertise and Support Staff for AL-INVEST Verde Intellectual Property Rights Action in Latin America </w:t>
      </w:r>
      <w:r w:rsidRPr="006812EF">
        <w:rPr>
          <w:i/>
          <w:iCs/>
          <w:sz w:val="22"/>
          <w:szCs w:val="22"/>
          <w:lang w:val="en-GB"/>
        </w:rPr>
        <w:t>(AL-INVEST Verde PI)</w:t>
      </w:r>
    </w:p>
    <w:p w14:paraId="65689C92" w14:textId="77777777" w:rsidR="006812EF" w:rsidRPr="00EB4554" w:rsidRDefault="006812EF" w:rsidP="006812EF">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22491007" w14:textId="07577FC0" w:rsidR="00DB6AFF" w:rsidRPr="003B1BA3" w:rsidRDefault="00595095" w:rsidP="00A61ADA">
      <w:pPr>
        <w:pStyle w:val="Blockquote"/>
        <w:ind w:left="0" w:right="0"/>
        <w:jc w:val="both"/>
        <w:rPr>
          <w:b/>
          <w:sz w:val="22"/>
          <w:szCs w:val="22"/>
          <w:lang w:val="en-GB"/>
        </w:rPr>
      </w:pPr>
      <w:r w:rsidRPr="003B1BA3">
        <w:rPr>
          <w:b/>
          <w:sz w:val="22"/>
          <w:szCs w:val="22"/>
          <w:lang w:val="en-GB"/>
        </w:rPr>
        <w:t>Please supply o</w:t>
      </w:r>
      <w:r w:rsidR="00D261B4" w:rsidRPr="003B1BA3">
        <w:rPr>
          <w:rStyle w:val="Strong"/>
          <w:sz w:val="22"/>
          <w:szCs w:val="22"/>
          <w:lang w:val="en-GB"/>
        </w:rPr>
        <w:t xml:space="preserve">ne signed </w:t>
      </w:r>
      <w:r w:rsidR="00831421" w:rsidRPr="003B1BA3">
        <w:rPr>
          <w:sz w:val="22"/>
          <w:szCs w:val="22"/>
          <w:lang w:val="en-GB"/>
        </w:rPr>
        <w:t>request to participate form</w:t>
      </w:r>
      <w:r w:rsidR="00D261B4" w:rsidRPr="003B1BA3">
        <w:rPr>
          <w:sz w:val="22"/>
          <w:szCs w:val="22"/>
          <w:lang w:val="en-GB"/>
        </w:rPr>
        <w:t xml:space="preserve"> (for each lot, if the tender procedure is divided into</w:t>
      </w:r>
      <w:r w:rsidR="009F7C97" w:rsidRPr="003B1BA3">
        <w:rPr>
          <w:sz w:val="22"/>
          <w:szCs w:val="22"/>
          <w:lang w:val="en-GB"/>
        </w:rPr>
        <w:t xml:space="preserve"> </w:t>
      </w:r>
      <w:r w:rsidR="00D261B4" w:rsidRPr="003B1BA3">
        <w:rPr>
          <w:sz w:val="22"/>
          <w:szCs w:val="22"/>
          <w:lang w:val="en-GB"/>
        </w:rPr>
        <w:t xml:space="preserve">lots), together with </w:t>
      </w:r>
      <w:r w:rsidR="00D261B4" w:rsidRPr="003B1BA3">
        <w:rPr>
          <w:b/>
          <w:sz w:val="22"/>
          <w:szCs w:val="22"/>
          <w:lang w:val="en-GB"/>
        </w:rPr>
        <w:t>three copies.</w:t>
      </w:r>
      <w:r w:rsidR="00DF4EE9" w:rsidRPr="003B1BA3">
        <w:rPr>
          <w:b/>
          <w:sz w:val="22"/>
          <w:szCs w:val="22"/>
          <w:lang w:val="en-GB"/>
        </w:rPr>
        <w:t xml:space="preserve"> </w:t>
      </w:r>
      <w:r w:rsidR="007C0FCD" w:rsidRPr="003B1BA3">
        <w:rPr>
          <w:bCs/>
          <w:sz w:val="22"/>
          <w:szCs w:val="22"/>
          <w:lang w:val="en-GB"/>
        </w:rPr>
        <w:t xml:space="preserve">For </w:t>
      </w:r>
      <w:r w:rsidR="00083A96" w:rsidRPr="003B1BA3">
        <w:rPr>
          <w:bCs/>
          <w:sz w:val="22"/>
          <w:szCs w:val="22"/>
          <w:lang w:val="en-GB"/>
        </w:rPr>
        <w:t>economic</w:t>
      </w:r>
      <w:r w:rsidR="007C0FCD" w:rsidRPr="003B1BA3">
        <w:rPr>
          <w:bCs/>
          <w:sz w:val="22"/>
          <w:szCs w:val="22"/>
          <w:lang w:val="en-GB"/>
        </w:rPr>
        <w:t xml:space="preserve"> and ecological reasons, we strongly recommend that you submit your files on paper (no plastic folder or divider).</w:t>
      </w:r>
      <w:r w:rsidR="00DF4EE9" w:rsidRPr="003B1BA3">
        <w:rPr>
          <w:bCs/>
          <w:sz w:val="22"/>
          <w:szCs w:val="22"/>
          <w:lang w:val="en-GB"/>
        </w:rPr>
        <w:t xml:space="preserve"> </w:t>
      </w:r>
      <w:r w:rsidR="007C0FCD" w:rsidRPr="003B1BA3">
        <w:rPr>
          <w:bCs/>
          <w:sz w:val="22"/>
          <w:szCs w:val="22"/>
          <w:lang w:val="en-GB"/>
        </w:rPr>
        <w:t>We also suggest you use double-sided print</w:t>
      </w:r>
      <w:r w:rsidR="006E6287" w:rsidRPr="003B1BA3">
        <w:rPr>
          <w:bCs/>
          <w:sz w:val="22"/>
          <w:szCs w:val="22"/>
          <w:lang w:val="en-GB"/>
        </w:rPr>
        <w:t>ing</w:t>
      </w:r>
      <w:r w:rsidR="007C0FCD" w:rsidRPr="003B1BA3">
        <w:rPr>
          <w:bCs/>
          <w:sz w:val="22"/>
          <w:szCs w:val="22"/>
          <w:lang w:val="en-GB"/>
        </w:rPr>
        <w:t xml:space="preserve"> </w:t>
      </w:r>
      <w:r w:rsidRPr="003B1BA3">
        <w:rPr>
          <w:bCs/>
          <w:sz w:val="22"/>
          <w:szCs w:val="22"/>
          <w:lang w:val="en-GB"/>
        </w:rPr>
        <w:t>wherever</w:t>
      </w:r>
      <w:r w:rsidR="007C0FCD" w:rsidRPr="003B1BA3">
        <w:rPr>
          <w:bCs/>
          <w:sz w:val="22"/>
          <w:szCs w:val="22"/>
          <w:lang w:val="en-GB"/>
        </w:rPr>
        <w:t xml:space="preserve"> possible.</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4B3A72C1" w14:textId="39EC95CF" w:rsidR="007143C3" w:rsidRDefault="007143C3" w:rsidP="00A61ADA">
      <w:pPr>
        <w:pStyle w:val="Blockquote"/>
        <w:ind w:left="0"/>
        <w:jc w:val="both"/>
        <w:rPr>
          <w:sz w:val="22"/>
          <w:szCs w:val="22"/>
          <w:lang w:val="en-GB"/>
        </w:rPr>
      </w:pPr>
    </w:p>
    <w:p w14:paraId="443C025C" w14:textId="4D336D4C" w:rsidR="006812EF" w:rsidRDefault="006812EF" w:rsidP="00A61ADA">
      <w:pPr>
        <w:pStyle w:val="Blockquote"/>
        <w:ind w:left="0"/>
        <w:jc w:val="both"/>
        <w:rPr>
          <w:sz w:val="22"/>
          <w:szCs w:val="22"/>
          <w:lang w:val="en-GB"/>
        </w:rPr>
      </w:pPr>
    </w:p>
    <w:p w14:paraId="48F4C956" w14:textId="71DCC214" w:rsidR="006812EF" w:rsidRDefault="006812EF" w:rsidP="00A61ADA">
      <w:pPr>
        <w:pStyle w:val="Blockquote"/>
        <w:ind w:left="0"/>
        <w:jc w:val="both"/>
        <w:rPr>
          <w:sz w:val="22"/>
          <w:szCs w:val="22"/>
          <w:lang w:val="en-GB"/>
        </w:rPr>
      </w:pPr>
    </w:p>
    <w:p w14:paraId="3D0E714D" w14:textId="77777777" w:rsidR="006812EF" w:rsidRPr="00EB4554" w:rsidRDefault="006812EF"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7EAAEA35" w14:textId="77777777" w:rsidR="00667C0B" w:rsidRPr="00532818" w:rsidRDefault="00667C0B" w:rsidP="00D96415">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7F451EEB" w:rsidR="00667C0B" w:rsidRPr="00377FF7" w:rsidRDefault="00667C0B" w:rsidP="00A61ADA">
            <w:pPr>
              <w:jc w:val="cente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77777777" w:rsidR="006F0301" w:rsidRPr="00CE7F5C" w:rsidRDefault="006F0301" w:rsidP="00D96415">
            <w:pPr>
              <w:widowControl w:val="0"/>
              <w:spacing w:before="60" w:after="60"/>
              <w:jc w:val="center"/>
              <w:rPr>
                <w:rFonts w:ascii="Times New Roman" w:hAnsi="Times New Roman"/>
              </w:rPr>
            </w:pPr>
            <w:r w:rsidRPr="00CE7F5C">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Additional information about</w:t>
            </w:r>
            <w:r w:rsidR="00724B01">
              <w:rPr>
                <w:rFonts w:ascii="Times New Roman" w:hAnsi="Times New Roman"/>
                <w:highlight w:val="yellow"/>
              </w:rPr>
              <w:t xml:space="preserve"> the</w:t>
            </w:r>
            <w:r w:rsidR="00F276EB">
              <w:rPr>
                <w:rFonts w:ascii="Times New Roman" w:hAnsi="Times New Roman"/>
                <w:highlight w:val="yellow"/>
              </w:rPr>
              <w:t xml:space="preserve"> </w:t>
            </w:r>
            <w:r w:rsidRPr="00CE7F5C">
              <w:rPr>
                <w:rFonts w:ascii="Times New Roman" w:hAnsi="Times New Roman"/>
                <w:highlight w:val="yellow"/>
              </w:rPr>
              <w:t>contract notice</w:t>
            </w: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0DC50BF6"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77777777"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74F7250A"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6A738B">
              <w:rPr>
                <w:rFonts w:ascii="Times New Roman" w:hAnsi="Times New Roman"/>
                <w:b/>
                <w:sz w:val="22"/>
                <w:szCs w:val="22"/>
                <w:highlight w:val="lightGray"/>
              </w:rPr>
              <w:t>L</w:t>
            </w:r>
            <w:r w:rsidR="00723A09" w:rsidRPr="00CE7F5C">
              <w:rPr>
                <w:rFonts w:ascii="Times New Roman" w:hAnsi="Times New Roman"/>
                <w:b/>
                <w:sz w:val="22"/>
                <w:szCs w:val="22"/>
                <w:highlight w:val="lightGray"/>
              </w:rPr>
              <w:t>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CE7F5C"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F968C6" w:rsidRDefault="00B02E07" w:rsidP="00D96415">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23A09"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14:paraId="3A85E5F9"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3DD44485"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13556B99" w14:textId="77777777" w:rsidR="00723A09" w:rsidRPr="00CE7F5C"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14:paraId="690378E2" w14:textId="5ED2B813"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Pr>
          <w:rFonts w:ascii="Times New Roman" w:hAnsi="Times New Roman"/>
          <w:sz w:val="22"/>
          <w:szCs w:val="22"/>
        </w:rPr>
        <w:t>l</w:t>
      </w:r>
      <w:r w:rsidRPr="00EB4554">
        <w:rPr>
          <w:rFonts w:ascii="Times New Roman" w:hAnsi="Times New Roman"/>
          <w:sz w:val="22"/>
          <w:szCs w:val="22"/>
        </w:rPr>
        <w:t>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087230BA"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hyperlink r:id="rId17"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8"/>
          <w:endnotePr>
            <w:numFmt w:val="decimal"/>
          </w:endnotePr>
          <w:pgSz w:w="16840" w:h="11907" w:orient="landscape" w:code="9"/>
          <w:pgMar w:top="1134" w:right="1134" w:bottom="1134" w:left="1134" w:header="567" w:footer="567" w:gutter="0"/>
          <w:cols w:space="720"/>
          <w:titlePg/>
        </w:sectPr>
      </w:pPr>
    </w:p>
    <w:p w14:paraId="092BBDB3" w14:textId="4D263BF7" w:rsidR="007C7C27" w:rsidRDefault="008B192F" w:rsidP="00D96415">
      <w:pPr>
        <w:pStyle w:val="BodyText"/>
        <w:keepNext w:val="0"/>
        <w:rPr>
          <w:rFonts w:ascii="Times New Roman" w:hAnsi="Times New Roman"/>
          <w:b w:val="0"/>
          <w:sz w:val="22"/>
          <w:szCs w:val="22"/>
          <w:highlight w:val="yellow"/>
        </w:rPr>
      </w:pPr>
      <w:r w:rsidRPr="00EB4554">
        <w:rPr>
          <w:rFonts w:ascii="Times New Roman" w:hAnsi="Times New Roman"/>
          <w:sz w:val="22"/>
          <w:szCs w:val="22"/>
        </w:rPr>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14:paraId="45AD469B" w14:textId="21B3E415" w:rsidR="008B192F" w:rsidRPr="00EB4554" w:rsidRDefault="007C7C27" w:rsidP="00D96415">
      <w:pPr>
        <w:pStyle w:val="BodyText"/>
        <w:keepNext w:val="0"/>
        <w:rPr>
          <w:rFonts w:ascii="Times New Roman" w:hAnsi="Times New Roman"/>
          <w:sz w:val="22"/>
          <w:szCs w:val="22"/>
        </w:rPr>
      </w:pPr>
      <w:r>
        <w:rPr>
          <w:rFonts w:ascii="Times New Roman" w:hAnsi="Times New Roman"/>
          <w:b w:val="0"/>
          <w:sz w:val="22"/>
          <w:szCs w:val="22"/>
          <w:highlight w:val="yellow"/>
        </w:rPr>
        <w:t>[Electronic submission</w:t>
      </w:r>
      <w:r w:rsidR="0084461A">
        <w:rPr>
          <w:rFonts w:ascii="Times New Roman" w:hAnsi="Times New Roman"/>
          <w:b w:val="0"/>
          <w:sz w:val="22"/>
          <w:szCs w:val="22"/>
          <w:highlight w:val="yellow"/>
        </w:rPr>
        <w:t xml:space="preserve"> (</w:t>
      </w:r>
      <w:r>
        <w:rPr>
          <w:rFonts w:ascii="Times New Roman" w:hAnsi="Times New Roman"/>
          <w:b w:val="0"/>
          <w:sz w:val="22"/>
          <w:szCs w:val="22"/>
          <w:highlight w:val="yellow"/>
        </w:rPr>
        <w:t>direct management</w:t>
      </w:r>
      <w:r w:rsidR="0084461A">
        <w:rPr>
          <w:rFonts w:ascii="Times New Roman" w:hAnsi="Times New Roman"/>
          <w:b w:val="0"/>
          <w:sz w:val="22"/>
          <w:szCs w:val="22"/>
          <w:highlight w:val="yellow"/>
        </w:rPr>
        <w:t>)</w:t>
      </w:r>
      <w:r>
        <w:rPr>
          <w:rFonts w:ascii="Times New Roman" w:hAnsi="Times New Roman"/>
          <w:b w:val="0"/>
          <w:sz w:val="22"/>
          <w:szCs w:val="22"/>
          <w:highlight w:val="yellow"/>
        </w:rPr>
        <w:t>:</w:t>
      </w:r>
      <w:r w:rsidR="00DF5EE8" w:rsidRPr="00F821B4">
        <w:rPr>
          <w:rFonts w:ascii="Times New Roman" w:hAnsi="Times New Roman"/>
          <w:b w:val="0"/>
          <w:sz w:val="22"/>
          <w:szCs w:val="22"/>
          <w:highlight w:val="yellow"/>
        </w:rPr>
        <w:t xml:space="preserve"> </w:t>
      </w:r>
      <w:r w:rsidR="00C0470D">
        <w:rPr>
          <w:rFonts w:ascii="Times New Roman" w:hAnsi="Times New Roman"/>
          <w:b w:val="0"/>
          <w:sz w:val="22"/>
          <w:szCs w:val="22"/>
          <w:highlight w:val="yellow"/>
        </w:rPr>
        <w:br/>
      </w:r>
      <w:r w:rsidR="00DF5EE8" w:rsidRPr="00F821B4">
        <w:rPr>
          <w:rFonts w:ascii="Times New Roman" w:hAnsi="Times New Roman"/>
          <w:b w:val="0"/>
          <w:sz w:val="22"/>
          <w:szCs w:val="22"/>
          <w:highlight w:val="yellow"/>
        </w:rPr>
        <w:t>In case of eSubmission submit this form as a separate electronic document in the section “Other documents” under “Attachments”.</w:t>
      </w:r>
      <w:r>
        <w:rPr>
          <w:rFonts w:ascii="Times New Roman" w:hAnsi="Times New Roman"/>
          <w:b w:val="0"/>
          <w:sz w:val="22"/>
          <w:szCs w:val="22"/>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A61ADA">
        <w:rPr>
          <w:rFonts w:ascii="Times New Roman" w:hAnsi="Times New Roman"/>
          <w:sz w:val="22"/>
          <w:szCs w:val="22"/>
          <w:highlight w:val="lightGray"/>
        </w:rPr>
        <w:t>for lot</w:t>
      </w:r>
      <w:r w:rsidR="0012770B">
        <w:rPr>
          <w:rFonts w:ascii="Times New Roman" w:hAnsi="Times New Roman"/>
          <w:sz w:val="22"/>
          <w:szCs w:val="22"/>
          <w:highlight w:val="lightGray"/>
        </w:rPr>
        <w:t>(s)</w:t>
      </w:r>
      <w:r w:rsidR="0012770B" w:rsidRPr="00A61ADA">
        <w:rPr>
          <w:rFonts w:ascii="Times New Roman" w:hAnsi="Times New Roman"/>
          <w:sz w:val="22"/>
          <w:szCs w:val="22"/>
          <w:highlight w:val="lightGray"/>
        </w:rPr>
        <w:t xml:space="preserve"> n° &lt;</w:t>
      </w:r>
      <w:r w:rsidR="0012770B" w:rsidRPr="00A61ADA">
        <w:rPr>
          <w:rFonts w:ascii="Times New Roman" w:hAnsi="Times New Roman"/>
          <w:sz w:val="22"/>
          <w:szCs w:val="22"/>
          <w:highlight w:val="yellow"/>
        </w:rPr>
        <w:t>number</w:t>
      </w:r>
      <w:r w:rsidR="0012770B" w:rsidRPr="00A61ADA">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7596D40E" w14:textId="5DF72BA2" w:rsidR="009A0F15" w:rsidRPr="00A52A4A" w:rsidRDefault="009955DA" w:rsidP="00D96415">
      <w:pPr>
        <w:rPr>
          <w:rFonts w:ascii="Times New Roman" w:hAnsi="Times New Roman"/>
          <w:sz w:val="22"/>
          <w:szCs w:val="22"/>
        </w:rPr>
      </w:pPr>
      <w:r>
        <w:rPr>
          <w:rFonts w:ascii="Times New Roman" w:hAnsi="Times New Roman"/>
          <w:sz w:val="22"/>
          <w:szCs w:val="22"/>
          <w:highlight w:val="yellow"/>
        </w:rPr>
        <w:t>Insert here f</w:t>
      </w:r>
      <w:r w:rsidR="009A0F15" w:rsidRPr="00F821B4">
        <w:rPr>
          <w:rFonts w:ascii="Times New Roman" w:hAnsi="Times New Roman"/>
          <w:sz w:val="22"/>
          <w:szCs w:val="22"/>
          <w:highlight w:val="yellow"/>
        </w:rPr>
        <w:t>orm A14</w:t>
      </w:r>
      <w:r w:rsidR="00744D60">
        <w:rPr>
          <w:rFonts w:ascii="Times New Roman" w:hAnsi="Times New Roman"/>
          <w:sz w:val="22"/>
          <w:szCs w:val="22"/>
          <w:highlight w:val="yellow"/>
        </w:rPr>
        <w:t>a</w:t>
      </w:r>
      <w:r>
        <w:rPr>
          <w:rFonts w:ascii="Times New Roman" w:hAnsi="Times New Roman"/>
          <w:sz w:val="22"/>
          <w:szCs w:val="22"/>
          <w:highlight w:val="yellow"/>
        </w:rPr>
        <w:t>,</w:t>
      </w:r>
      <w:r w:rsidR="009A0F15" w:rsidRPr="00F821B4">
        <w:rPr>
          <w:rFonts w:ascii="Times New Roman" w:hAnsi="Times New Roman"/>
          <w:sz w:val="22"/>
          <w:szCs w:val="22"/>
          <w:highlight w:val="yellow"/>
        </w:rPr>
        <w:t xml:space="preserve"> available at the following link: </w:t>
      </w:r>
      <w:hyperlink r:id="rId19" w:history="1">
        <w:r w:rsidR="009A0F15" w:rsidRPr="00F821B4">
          <w:rPr>
            <w:rStyle w:val="Hyperlink"/>
            <w:rFonts w:ascii="Times New Roman" w:hAnsi="Times New Roman"/>
            <w:sz w:val="22"/>
            <w:szCs w:val="22"/>
            <w:highlight w:val="yellow"/>
          </w:rPr>
          <w:t>http://ec.europa.eu/europeaid/prag/annexes.do?chapterTitleCode=A</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58041DED"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4FF8C912" w14:textId="69503449" w:rsidR="00DE7AAC" w:rsidRDefault="009A0F15" w:rsidP="00D96415">
      <w:pPr>
        <w:widowControl w:val="0"/>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In case </w:t>
      </w:r>
      <w:r>
        <w:rPr>
          <w:rFonts w:ascii="Times New Roman" w:hAnsi="Times New Roman"/>
          <w:sz w:val="22"/>
          <w:szCs w:val="22"/>
          <w:highlight w:val="yellow"/>
        </w:rPr>
        <w:t xml:space="preserve">the additional information about the contract notice (a5f) </w:t>
      </w:r>
      <w:r w:rsidRPr="00F821B4">
        <w:rPr>
          <w:rFonts w:ascii="Times New Roman" w:hAnsi="Times New Roman"/>
          <w:sz w:val="22"/>
          <w:szCs w:val="22"/>
          <w:highlight w:val="yellow"/>
        </w:rPr>
        <w:t>state</w:t>
      </w:r>
      <w:r w:rsidR="00DF5EE8">
        <w:rPr>
          <w:rFonts w:ascii="Times New Roman" w:hAnsi="Times New Roman"/>
          <w:sz w:val="22"/>
          <w:szCs w:val="22"/>
          <w:highlight w:val="yellow"/>
        </w:rPr>
        <w:t>s</w:t>
      </w:r>
      <w:r w:rsidRPr="00F821B4">
        <w:rPr>
          <w:rFonts w:ascii="Times New Roman" w:hAnsi="Times New Roman"/>
          <w:sz w:val="22"/>
          <w:szCs w:val="22"/>
          <w:highlight w:val="yellow"/>
        </w:rPr>
        <w:t xml:space="preserve"> that the tender should be submitted via </w:t>
      </w:r>
      <w:r w:rsidRPr="00F821B4">
        <w:rPr>
          <w:rFonts w:ascii="Times New Roman" w:hAnsi="Times New Roman"/>
          <w:b/>
          <w:sz w:val="22"/>
          <w:szCs w:val="22"/>
          <w:highlight w:val="yellow"/>
        </w:rPr>
        <w:t>eSubmission</w:t>
      </w:r>
      <w:r w:rsidRPr="00F821B4">
        <w:rPr>
          <w:rFonts w:ascii="Times New Roman" w:hAnsi="Times New Roman"/>
          <w:sz w:val="22"/>
          <w:szCs w:val="22"/>
          <w:highlight w:val="yellow"/>
        </w:rPr>
        <w:t>:</w:t>
      </w:r>
    </w:p>
    <w:p w14:paraId="462DB230" w14:textId="77777777"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 and date the declaration on honour</w:t>
      </w:r>
    </w:p>
    <w:p w14:paraId="6219B8A6" w14:textId="6C4A4F1A" w:rsidR="009A0F15" w:rsidRDefault="00AB2DCA"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the declarations on honour are scanned and submitted via eSubmission</w:t>
      </w:r>
      <w:r w:rsidR="00DF5EE8">
        <w:rPr>
          <w:rFonts w:ascii="Times New Roman" w:hAnsi="Times New Roman"/>
          <w:sz w:val="22"/>
          <w:szCs w:val="22"/>
          <w:highlight w:val="yellow"/>
        </w:rPr>
        <w:t xml:space="preserve"> through the section “Declaration on Honour” under “Attachments”.</w:t>
      </w:r>
    </w:p>
    <w:p w14:paraId="0FCD90A6" w14:textId="77777777"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5D65173B" w14:textId="28A7A00A" w:rsidR="009A0F15" w:rsidRPr="00AB2DCA"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the evaluation committee might request the submission of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77777777" w:rsidR="00053B1D" w:rsidRPr="00EB4554" w:rsidRDefault="00053B1D" w:rsidP="00D96415">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 xml:space="preserve">contract </w:t>
            </w:r>
            <w:r w:rsidRPr="004D57D7">
              <w:rPr>
                <w:rFonts w:ascii="Times New Roman" w:hAnsi="Times New Roman"/>
                <w:highlight w:val="yellow"/>
              </w:rPr>
              <w:t>notice</w:t>
            </w:r>
            <w:r w:rsidR="00F276EB" w:rsidRPr="00A61ADA">
              <w:rPr>
                <w:rFonts w:ascii="Times New Roman" w:hAnsi="Times New Roman"/>
                <w:highlight w:val="yellow"/>
              </w:rPr>
              <w:t xml:space="preserve"> document</w:t>
            </w: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0FC7447C"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77777777" w:rsidR="009402A8" w:rsidRDefault="009402A8" w:rsidP="00D96415">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44D60">
              <w:rPr>
                <w:rFonts w:ascii="Times New Roman" w:hAnsi="Times New Roman"/>
                <w:b/>
                <w:sz w:val="22"/>
                <w:szCs w:val="22"/>
                <w:highlight w:val="lightGray"/>
              </w:rPr>
              <w:t>L</w:t>
            </w:r>
            <w:r w:rsidRPr="00CE7F5C">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F968C6" w:rsidRDefault="00B02E07" w:rsidP="00D96415">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CE7F5C"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CE7F5C" w:rsidRDefault="00B02E07" w:rsidP="00D96415">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5A74" w14:textId="77777777" w:rsidR="003F4331" w:rsidRDefault="003F4331" w:rsidP="00662B19">
      <w:pPr>
        <w:spacing w:before="120" w:after="0"/>
      </w:pPr>
      <w:r>
        <w:separator/>
      </w:r>
    </w:p>
  </w:endnote>
  <w:endnote w:type="continuationSeparator" w:id="0">
    <w:p w14:paraId="57454CA8" w14:textId="77777777" w:rsidR="003F4331" w:rsidRDefault="003F4331">
      <w:r>
        <w:continuationSeparator/>
      </w:r>
    </w:p>
  </w:endnote>
  <w:endnote w:id="1">
    <w:p w14:paraId="021B3880" w14:textId="77777777" w:rsidR="00667C0B" w:rsidRPr="00864901" w:rsidRDefault="00667C0B" w:rsidP="00A263EF">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A263EF">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F821B4">
        <w:rPr>
          <w:b/>
          <w:highlight w:val="yellow"/>
        </w:rPr>
        <w:t xml:space="preserve">Note </w:t>
      </w:r>
      <w:r w:rsidRPr="00F821B4">
        <w:rPr>
          <w:highlight w:val="yellow"/>
        </w:rPr>
        <w:t xml:space="preserve">that a </w:t>
      </w:r>
      <w:r w:rsidR="007143C3">
        <w:rPr>
          <w:highlight w:val="yellow"/>
        </w:rPr>
        <w:t>capacity providing entity/</w:t>
      </w:r>
      <w:r w:rsidRPr="00F821B4">
        <w:rPr>
          <w:highlight w:val="yellow"/>
        </w:rPr>
        <w:t xml:space="preserve">subcontractor is not considered to be a consortium member for the purposes of this </w:t>
      </w:r>
      <w:r w:rsidR="00831421">
        <w:rPr>
          <w:highlight w:val="yellow"/>
        </w:rPr>
        <w:t>request to participate</w:t>
      </w:r>
      <w:r w:rsidRPr="00F821B4">
        <w:rPr>
          <w:highlight w:val="yellow"/>
        </w:rPr>
        <w:t xml:space="preserve"> form. Subsequently, data on </w:t>
      </w:r>
      <w:r w:rsidR="007143C3">
        <w:rPr>
          <w:highlight w:val="yellow"/>
        </w:rPr>
        <w:t>capacity providing entities/</w:t>
      </w:r>
      <w:r w:rsidRPr="00F821B4">
        <w:rPr>
          <w:highlight w:val="yellow"/>
        </w:rPr>
        <w:t>subcontractors must not appear in the data related to the economic, financial and professional capacity</w:t>
      </w:r>
      <w:r w:rsidR="007143C3">
        <w:t xml:space="preserve"> </w:t>
      </w:r>
      <w:r w:rsidR="007143C3" w:rsidRPr="00F821B4">
        <w:rPr>
          <w:highlight w:val="yellow"/>
        </w:rPr>
        <w:t>but on a separate document</w:t>
      </w:r>
      <w:r w:rsidRPr="00864901">
        <w:t xml:space="preserve">. If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A263EF">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A263E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A263EF">
      <w:pPr>
        <w:pStyle w:val="EndnoteText"/>
      </w:pPr>
      <w:r>
        <w:rPr>
          <w:rStyle w:val="EndnoteReference"/>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A263EF">
      <w:pPr>
        <w:pStyle w:val="EndnoteText"/>
      </w:pPr>
      <w:r w:rsidRPr="007D7208">
        <w:rPr>
          <w:rStyle w:val="EndnoteReference"/>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A263EF">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A263EF">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A263EF">
      <w:pPr>
        <w:pStyle w:val="EndnoteText"/>
      </w:pPr>
      <w:r>
        <w:rPr>
          <w:rStyle w:val="EndnoteReference"/>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A263EF">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298EF07F" w:rsidR="004A0EF2" w:rsidRPr="00864901" w:rsidRDefault="004A0EF2" w:rsidP="00A263EF">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BF73" w14:textId="77777777" w:rsidR="00A61ADA" w:rsidRDefault="00A6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5250" w14:textId="4F9323D3" w:rsidR="006353E1" w:rsidRPr="00EB4554" w:rsidRDefault="00A16387"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Dece</w:t>
    </w:r>
    <w:r w:rsidR="00377FF7">
      <w:rPr>
        <w:rFonts w:ascii="Times New Roman" w:hAnsi="Times New Roman"/>
        <w:b/>
        <w:sz w:val="18"/>
        <w:szCs w:val="18"/>
      </w:rPr>
      <w:t xml:space="preserve">mber </w:t>
    </w:r>
    <w:r w:rsidR="00532818" w:rsidRPr="00532818">
      <w:rPr>
        <w:rFonts w:ascii="Times New Roman" w:hAnsi="Times New Roman"/>
        <w:b/>
        <w:sz w:val="18"/>
        <w:szCs w:val="18"/>
      </w:rPr>
      <w:t>202</w:t>
    </w:r>
    <w:r w:rsidR="00377FF7">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4</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D612" w14:textId="68FB40CB" w:rsidR="006353E1" w:rsidRPr="00EB4554" w:rsidRDefault="00A16387"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Dece</w:t>
    </w:r>
    <w:r w:rsidR="00A61ADA">
      <w:rPr>
        <w:rFonts w:ascii="Times New Roman" w:hAnsi="Times New Roman"/>
        <w:b/>
        <w:snapToGrid w:val="0"/>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6738" w14:textId="0350526C" w:rsidR="006353E1" w:rsidRPr="00EB4554" w:rsidRDefault="00A16387"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Dece</w:t>
    </w:r>
    <w:r w:rsidR="00A61ADA">
      <w:rPr>
        <w:rFonts w:ascii="Times New Roman" w:hAnsi="Times New Roman"/>
        <w:b/>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0DBC" w14:textId="45ECFD6D" w:rsidR="006353E1" w:rsidRDefault="00A16387"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Pr>
        <w:rFonts w:ascii="Times New Roman" w:hAnsi="Times New Roman"/>
        <w:noProof/>
        <w:sz w:val="18"/>
        <w:szCs w:val="18"/>
      </w:rPr>
      <w:t>10</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Pr>
        <w:rStyle w:val="PageNumber"/>
        <w:rFonts w:ascii="Times New Roman" w:hAnsi="Times New Roman"/>
        <w:noProof/>
      </w:rPr>
      <w:t>15</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8A34" w14:textId="1BE985A5" w:rsidR="006353E1" w:rsidRPr="00910296" w:rsidRDefault="00A16387"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Pr>
        <w:rStyle w:val="PageNumber"/>
        <w:rFonts w:ascii="Times New Roman" w:hAnsi="Times New Roman"/>
        <w:noProof/>
      </w:rPr>
      <w:t>13</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Pr>
        <w:rStyle w:val="PageNumber"/>
        <w:rFonts w:ascii="Times New Roman" w:hAnsi="Times New Roman"/>
        <w:noProof/>
      </w:rPr>
      <w:t>15</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1ED2" w14:textId="77777777" w:rsidR="003F4331" w:rsidRDefault="003F4331">
      <w:r>
        <w:separator/>
      </w:r>
    </w:p>
  </w:footnote>
  <w:footnote w:type="continuationSeparator" w:id="0">
    <w:p w14:paraId="2EF7BA5F" w14:textId="77777777" w:rsidR="003F4331" w:rsidRDefault="003F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299F" w14:textId="77777777" w:rsidR="00A61ADA" w:rsidRDefault="00A6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CB59" w14:textId="77777777" w:rsidR="00A61ADA" w:rsidRDefault="00A6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1923" w14:textId="77777777" w:rsidR="00A61ADA" w:rsidRDefault="00A6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03768"/>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E1461"/>
    <w:rsid w:val="000E3942"/>
    <w:rsid w:val="000E4990"/>
    <w:rsid w:val="000E6A10"/>
    <w:rsid w:val="000F291F"/>
    <w:rsid w:val="00100FB6"/>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32180"/>
    <w:rsid w:val="00235792"/>
    <w:rsid w:val="00236FAD"/>
    <w:rsid w:val="00237B3E"/>
    <w:rsid w:val="00241ADB"/>
    <w:rsid w:val="002429A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1BA3"/>
    <w:rsid w:val="003B21A0"/>
    <w:rsid w:val="003B446A"/>
    <w:rsid w:val="003D232E"/>
    <w:rsid w:val="003D2B89"/>
    <w:rsid w:val="003D3586"/>
    <w:rsid w:val="003D6061"/>
    <w:rsid w:val="003E340A"/>
    <w:rsid w:val="003F4331"/>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34F5"/>
    <w:rsid w:val="005205DC"/>
    <w:rsid w:val="00530A3D"/>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2EF"/>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659C8"/>
    <w:rsid w:val="00774D60"/>
    <w:rsid w:val="00775013"/>
    <w:rsid w:val="00781AEB"/>
    <w:rsid w:val="00785979"/>
    <w:rsid w:val="00786E6B"/>
    <w:rsid w:val="00791875"/>
    <w:rsid w:val="00796197"/>
    <w:rsid w:val="007A1303"/>
    <w:rsid w:val="007A2449"/>
    <w:rsid w:val="007A39CD"/>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1B59"/>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61E06"/>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C3D30"/>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europeaid/prag/annexes.do?chapterTitleCod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FC620-ACD9-4726-894F-DFA4F2E54B72}">
  <ds:schemaRefs>
    <ds:schemaRef ds:uri="http://schemas.microsoft.com/sharepoint/v3/contenttype/forms"/>
  </ds:schemaRefs>
</ds:datastoreItem>
</file>

<file path=customXml/itemProps2.xml><?xml version="1.0" encoding="utf-8"?>
<ds:datastoreItem xmlns:ds="http://schemas.openxmlformats.org/officeDocument/2006/customXml" ds:itemID="{5F498A48-6D89-4161-92AD-D26F5E4F0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4435F-EA9F-48CF-90DF-1BD576D7375C}">
  <ds:schemaRefs>
    <ds:schemaRef ds:uri="http://schemas.openxmlformats.org/officeDocument/2006/bibliography"/>
  </ds:schemaRefs>
</ds:datastoreItem>
</file>

<file path=customXml/itemProps4.xml><?xml version="1.0" encoding="utf-8"?>
<ds:datastoreItem xmlns:ds="http://schemas.openxmlformats.org/officeDocument/2006/customXml" ds:itemID="{DED80F9F-6499-492C-A74B-E92A78D1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18065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RODRÍGUEZ DÍEZ Rosa María</cp:lastModifiedBy>
  <cp:revision>4</cp:revision>
  <cp:lastPrinted>2018-04-20T13:05:00Z</cp:lastPrinted>
  <dcterms:created xsi:type="dcterms:W3CDTF">2022-02-15T15:38:00Z</dcterms:created>
  <dcterms:modified xsi:type="dcterms:W3CDTF">2022-02-16T17:02:00Z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