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8AEE" w14:textId="2CC0B837" w:rsidR="00AA652F" w:rsidRPr="00AA652F" w:rsidRDefault="00AA652F" w:rsidP="00AA652F">
      <w:pPr>
        <w:pBdr>
          <w:top w:val="single" w:sz="4" w:space="1" w:color="auto"/>
          <w:left w:val="single" w:sz="4" w:space="4" w:color="auto"/>
          <w:bottom w:val="single" w:sz="4" w:space="1" w:color="auto"/>
          <w:right w:val="single" w:sz="4" w:space="4" w:color="auto"/>
        </w:pBdr>
        <w:shd w:val="clear" w:color="auto" w:fill="D9D9D9"/>
        <w:jc w:val="center"/>
        <w:rPr>
          <w:b/>
          <w:sz w:val="28"/>
        </w:rPr>
      </w:pPr>
      <w:r w:rsidRPr="00AA652F">
        <w:rPr>
          <w:b/>
          <w:sz w:val="28"/>
        </w:rPr>
        <w:t>NIET-OPENBARE AANBESTEDING N°PMO3/PR/2016/027</w:t>
      </w:r>
    </w:p>
    <w:p w14:paraId="346DB01E" w14:textId="77777777" w:rsidR="00AA652F" w:rsidRPr="00AA652F" w:rsidRDefault="00AA652F" w:rsidP="00AA652F">
      <w:pPr>
        <w:pBdr>
          <w:top w:val="single" w:sz="4" w:space="1" w:color="auto"/>
          <w:left w:val="single" w:sz="4" w:space="4" w:color="auto"/>
          <w:bottom w:val="single" w:sz="4" w:space="1" w:color="auto"/>
          <w:right w:val="single" w:sz="4" w:space="4" w:color="auto"/>
        </w:pBdr>
        <w:shd w:val="clear" w:color="auto" w:fill="D9D9D9"/>
        <w:jc w:val="center"/>
        <w:rPr>
          <w:b/>
          <w:smallCaps/>
          <w:szCs w:val="22"/>
        </w:rPr>
      </w:pPr>
    </w:p>
    <w:p w14:paraId="6F0A38B3" w14:textId="409FD532" w:rsidR="00AA652F" w:rsidRPr="00AA652F" w:rsidRDefault="00AA652F" w:rsidP="00AA652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mallCaps/>
          <w:szCs w:val="22"/>
        </w:rPr>
      </w:pPr>
      <w:r w:rsidRPr="00AA652F">
        <w:rPr>
          <w:b/>
          <w:smallCaps/>
          <w:szCs w:val="22"/>
        </w:rPr>
        <w:t>"</w:t>
      </w:r>
      <w:r w:rsidRPr="00AA652F">
        <w:rPr>
          <w:rFonts w:ascii="Arial" w:hAnsi="Arial" w:cs="Arial"/>
          <w:b/>
          <w:smallCaps/>
          <w:szCs w:val="22"/>
        </w:rPr>
        <w:t>Verzekering tegen ongevallen, beroepsziekten en natuurlijk overlijden van ambtenaren, tijdelijke functionarissen en arbeidscontractanten van de I/O/A van de EU en het EUI"</w:t>
      </w:r>
    </w:p>
    <w:p w14:paraId="762E2801" w14:textId="77777777" w:rsidR="00AA652F" w:rsidRPr="00AA652F" w:rsidRDefault="00AA652F" w:rsidP="00AA652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mallCaps/>
          <w:szCs w:val="22"/>
        </w:rPr>
      </w:pPr>
    </w:p>
    <w:p w14:paraId="183043FA" w14:textId="0E824E3D" w:rsidR="00AA652F" w:rsidRPr="00AA652F" w:rsidRDefault="00AA652F" w:rsidP="00AA652F">
      <w:pPr>
        <w:pBdr>
          <w:top w:val="single" w:sz="4" w:space="1" w:color="auto"/>
          <w:left w:val="single" w:sz="4" w:space="4" w:color="auto"/>
          <w:bottom w:val="single" w:sz="4" w:space="1" w:color="auto"/>
          <w:right w:val="single" w:sz="4" w:space="4" w:color="auto"/>
        </w:pBdr>
        <w:shd w:val="clear" w:color="auto" w:fill="D9D9D9"/>
        <w:spacing w:before="240" w:after="240"/>
        <w:jc w:val="center"/>
        <w:rPr>
          <w:b/>
          <w:noProof/>
          <w:sz w:val="28"/>
          <w:szCs w:val="32"/>
        </w:rPr>
      </w:pPr>
      <w:r w:rsidRPr="00AA652F">
        <w:rPr>
          <w:b/>
          <w:noProof/>
          <w:sz w:val="32"/>
          <w:u w:val="single"/>
        </w:rPr>
        <w:t>Bijlage 2:</w:t>
      </w:r>
      <w:r w:rsidRPr="00AA652F">
        <w:rPr>
          <w:b/>
          <w:noProof/>
          <w:sz w:val="32"/>
        </w:rPr>
        <w:br/>
      </w:r>
      <w:r>
        <w:rPr>
          <w:b/>
          <w:noProof/>
          <w:sz w:val="28"/>
        </w:rPr>
        <w:t>Verklaring op erewoord betreffende</w:t>
      </w:r>
      <w:r>
        <w:rPr>
          <w:b/>
          <w:noProof/>
          <w:sz w:val="28"/>
          <w:szCs w:val="32"/>
        </w:rPr>
        <w:br/>
      </w:r>
      <w:r>
        <w:rPr>
          <w:b/>
          <w:noProof/>
          <w:sz w:val="28"/>
        </w:rPr>
        <w:t>uitsluitings- en selectiecriteria</w:t>
      </w:r>
    </w:p>
    <w:p w14:paraId="1618406E" w14:textId="77777777" w:rsidR="00DA410F" w:rsidRDefault="00DA410F" w:rsidP="0024225B">
      <w:pPr>
        <w:spacing w:before="100" w:beforeAutospacing="1" w:after="100" w:afterAutospacing="1"/>
        <w:jc w:val="both"/>
        <w:rPr>
          <w:noProof/>
        </w:rPr>
      </w:pPr>
      <w:r>
        <w:t>Ondergetekende [</w:t>
      </w:r>
      <w:r>
        <w:rPr>
          <w:i/>
          <w:noProof/>
          <w:highlight w:val="lightGray"/>
        </w:rPr>
        <w:t>naam van de ondertekenaar van dit formulier invullen</w:t>
      </w:r>
      <w:r>
        <w:t>], als vertegenwoordiger van:</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184072" w14:textId="77777777" w:rsidTr="00A40405">
        <w:tc>
          <w:tcPr>
            <w:tcW w:w="3369" w:type="dxa"/>
            <w:shd w:val="clear" w:color="auto" w:fill="auto"/>
          </w:tcPr>
          <w:p w14:paraId="1618406F" w14:textId="77777777" w:rsidR="005E41BC" w:rsidRDefault="005E41BC" w:rsidP="00583379">
            <w:pPr>
              <w:jc w:val="both"/>
              <w:rPr>
                <w:noProof/>
              </w:rPr>
            </w:pPr>
            <w:r>
              <w:t>(</w:t>
            </w:r>
            <w:r>
              <w:rPr>
                <w:i/>
              </w:rPr>
              <w:t>alleen voor natuurlijke personen</w:t>
            </w:r>
            <w:r>
              <w:t>) zichzelf</w:t>
            </w:r>
          </w:p>
        </w:tc>
        <w:tc>
          <w:tcPr>
            <w:tcW w:w="6378" w:type="dxa"/>
            <w:shd w:val="clear" w:color="auto" w:fill="auto"/>
          </w:tcPr>
          <w:p w14:paraId="16184070" w14:textId="77777777" w:rsidR="003154CD" w:rsidRDefault="005E41BC" w:rsidP="00583379">
            <w:pPr>
              <w:jc w:val="both"/>
              <w:rPr>
                <w:noProof/>
              </w:rPr>
            </w:pPr>
            <w:r>
              <w:t>(</w:t>
            </w:r>
            <w:r>
              <w:rPr>
                <w:i/>
              </w:rPr>
              <w:t>alleen voor rechtspersonen</w:t>
            </w:r>
            <w:r>
              <w:t xml:space="preserve">) de volgende rechtspersoon: </w:t>
            </w:r>
          </w:p>
          <w:p w14:paraId="16184071" w14:textId="77777777" w:rsidR="005E41BC" w:rsidRDefault="005E41BC" w:rsidP="00583379">
            <w:pPr>
              <w:jc w:val="both"/>
              <w:rPr>
                <w:noProof/>
              </w:rPr>
            </w:pPr>
          </w:p>
        </w:tc>
      </w:tr>
      <w:tr w:rsidR="003154CD" w14:paraId="1618407D" w14:textId="77777777" w:rsidTr="00A40405">
        <w:tc>
          <w:tcPr>
            <w:tcW w:w="3369" w:type="dxa"/>
            <w:shd w:val="clear" w:color="auto" w:fill="auto"/>
          </w:tcPr>
          <w:p w14:paraId="16184073" w14:textId="77777777" w:rsidR="003154CD" w:rsidRDefault="005E41BC" w:rsidP="00583379">
            <w:pPr>
              <w:jc w:val="both"/>
            </w:pPr>
            <w:r>
              <w:t xml:space="preserve">nummer van identiteitskaart of paspoort: </w:t>
            </w:r>
          </w:p>
          <w:p w14:paraId="16184074" w14:textId="77777777" w:rsidR="005E41BC" w:rsidRDefault="005E41BC" w:rsidP="00583379">
            <w:pPr>
              <w:jc w:val="both"/>
              <w:rPr>
                <w:noProof/>
              </w:rPr>
            </w:pPr>
          </w:p>
          <w:p w14:paraId="16184075" w14:textId="77777777" w:rsidR="00D841AD" w:rsidRPr="005E41BC" w:rsidRDefault="00D841AD" w:rsidP="00583379">
            <w:pPr>
              <w:jc w:val="both"/>
              <w:rPr>
                <w:noProof/>
              </w:rPr>
            </w:pPr>
            <w:r>
              <w:t>("de persoon")</w:t>
            </w:r>
          </w:p>
        </w:tc>
        <w:tc>
          <w:tcPr>
            <w:tcW w:w="6378" w:type="dxa"/>
            <w:shd w:val="clear" w:color="auto" w:fill="auto"/>
          </w:tcPr>
          <w:p w14:paraId="16184076" w14:textId="77777777" w:rsidR="005E41BC" w:rsidRPr="00583379" w:rsidRDefault="005E41BC" w:rsidP="00892BCE">
            <w:pPr>
              <w:rPr>
                <w:b/>
              </w:rPr>
            </w:pPr>
            <w:r>
              <w:t>volledige officiële benaming:</w:t>
            </w:r>
          </w:p>
          <w:p w14:paraId="16184077" w14:textId="77777777" w:rsidR="005E41BC" w:rsidRPr="00892BCE" w:rsidRDefault="005E41BC" w:rsidP="005E41BC">
            <w:r>
              <w:t xml:space="preserve">officiële rechtsvorm: </w:t>
            </w:r>
          </w:p>
          <w:p w14:paraId="16184078" w14:textId="77777777" w:rsidR="005E41BC" w:rsidRPr="00583379" w:rsidRDefault="005E41BC" w:rsidP="005E41BC">
            <w:pPr>
              <w:rPr>
                <w:b/>
              </w:rPr>
            </w:pPr>
            <w:r>
              <w:t>wettelijk registratienummer:</w:t>
            </w:r>
            <w:r>
              <w:rPr>
                <w:b/>
              </w:rPr>
              <w:t xml:space="preserve"> </w:t>
            </w:r>
          </w:p>
          <w:p w14:paraId="16184079" w14:textId="77777777" w:rsidR="005E41BC" w:rsidRPr="00583379" w:rsidRDefault="005E41BC" w:rsidP="005E41BC">
            <w:pPr>
              <w:rPr>
                <w:b/>
              </w:rPr>
            </w:pPr>
            <w:r>
              <w:t xml:space="preserve">volledig officieel adres: </w:t>
            </w:r>
          </w:p>
          <w:p w14:paraId="1618407A" w14:textId="77777777" w:rsidR="003154CD" w:rsidRDefault="005E41BC" w:rsidP="00892BCE">
            <w:r>
              <w:t xml:space="preserve">btw-nummer: </w:t>
            </w:r>
          </w:p>
          <w:p w14:paraId="1618407B" w14:textId="77777777" w:rsidR="005E41BC" w:rsidRDefault="005E41BC" w:rsidP="005E41BC">
            <w:pPr>
              <w:rPr>
                <w:noProof/>
              </w:rPr>
            </w:pPr>
          </w:p>
          <w:p w14:paraId="1618407C" w14:textId="77777777" w:rsidR="00D841AD" w:rsidRDefault="00D841AD" w:rsidP="005E41BC">
            <w:pPr>
              <w:rPr>
                <w:noProof/>
              </w:rPr>
            </w:pPr>
            <w:r>
              <w:t>("de persoon")</w:t>
            </w:r>
          </w:p>
        </w:tc>
      </w:tr>
    </w:tbl>
    <w:p w14:paraId="1618407E" w14:textId="77777777" w:rsidR="00897553" w:rsidRPr="00F76ABA" w:rsidRDefault="00897553" w:rsidP="0024225B">
      <w:pPr>
        <w:pStyle w:val="Title"/>
        <w:rPr>
          <w:noProof/>
        </w:rPr>
      </w:pPr>
      <w:r>
        <w:t>I – Uitsluitingssituaties betreffende de persoon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808"/>
        <w:gridCol w:w="825"/>
      </w:tblGrid>
      <w:tr w:rsidR="00F7691A" w14:paraId="16184082" w14:textId="77777777" w:rsidTr="00F7691A">
        <w:tc>
          <w:tcPr>
            <w:tcW w:w="8238" w:type="dxa"/>
            <w:shd w:val="clear" w:color="auto" w:fill="auto"/>
          </w:tcPr>
          <w:p w14:paraId="1618407F" w14:textId="77777777" w:rsidR="00F7691A" w:rsidRDefault="00F7691A" w:rsidP="0010150F">
            <w:pPr>
              <w:numPr>
                <w:ilvl w:val="0"/>
                <w:numId w:val="17"/>
              </w:numPr>
              <w:spacing w:before="40" w:after="40"/>
              <w:jc w:val="both"/>
              <w:rPr>
                <w:noProof/>
              </w:rPr>
            </w:pPr>
            <w:r>
              <w:t xml:space="preserve"> verklaart dat de bovengenoemde persoon zich in een van de onderstaande situaties bevindt:</w:t>
            </w:r>
          </w:p>
        </w:tc>
        <w:tc>
          <w:tcPr>
            <w:tcW w:w="812" w:type="dxa"/>
            <w:shd w:val="clear" w:color="auto" w:fill="auto"/>
          </w:tcPr>
          <w:p w14:paraId="16184080" w14:textId="77777777" w:rsidR="00F7691A" w:rsidRDefault="00F7691A" w:rsidP="00F7691A">
            <w:pPr>
              <w:spacing w:before="40" w:after="40"/>
              <w:ind w:left="142"/>
              <w:jc w:val="both"/>
              <w:rPr>
                <w:noProof/>
              </w:rPr>
            </w:pPr>
            <w:r>
              <w:t>JA</w:t>
            </w:r>
          </w:p>
        </w:tc>
        <w:tc>
          <w:tcPr>
            <w:tcW w:w="705" w:type="dxa"/>
            <w:shd w:val="clear" w:color="auto" w:fill="auto"/>
          </w:tcPr>
          <w:p w14:paraId="16184081" w14:textId="77777777" w:rsidR="00F7691A" w:rsidRDefault="00F7691A" w:rsidP="00F7691A">
            <w:pPr>
              <w:spacing w:before="40" w:after="40"/>
              <w:ind w:left="142"/>
              <w:jc w:val="both"/>
              <w:rPr>
                <w:noProof/>
              </w:rPr>
            </w:pPr>
            <w:r>
              <w:t>NEE</w:t>
            </w:r>
          </w:p>
        </w:tc>
      </w:tr>
      <w:tr w:rsidR="00E33977" w14:paraId="16184086" w14:textId="77777777" w:rsidTr="00F7691A">
        <w:tc>
          <w:tcPr>
            <w:tcW w:w="8238" w:type="dxa"/>
            <w:shd w:val="clear" w:color="auto" w:fill="auto"/>
          </w:tcPr>
          <w:p w14:paraId="16184083" w14:textId="77777777" w:rsidR="00E33977" w:rsidRDefault="00E33977" w:rsidP="004B29AF">
            <w:pPr>
              <w:pStyle w:val="Text1"/>
              <w:numPr>
                <w:ilvl w:val="0"/>
                <w:numId w:val="15"/>
              </w:numPr>
              <w:spacing w:before="40" w:after="40"/>
              <w:rPr>
                <w:noProof/>
              </w:rPr>
            </w:pPr>
            <w:r>
              <w:t>de persoon is failliet of is onderworpen aan insolventie- of liquidatieprocedures, zijn activa worden beheerd door een curator of een gerecht, hij heeft een regeling met schuldeisers getroffen, zijn werkzaamheden zijn gestaakt of hij verkeert in een vergelijkbare toestand als gevolg van een soortgelijke procedure uit hoofde van nationale wettelijke of bestuursrechtelijke bepalingen;</w:t>
            </w:r>
          </w:p>
        </w:tc>
        <w:tc>
          <w:tcPr>
            <w:tcW w:w="812" w:type="dxa"/>
            <w:shd w:val="clear" w:color="auto" w:fill="auto"/>
          </w:tcPr>
          <w:p w14:paraId="16184084"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8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E33977" w14:paraId="1618408A" w14:textId="77777777" w:rsidTr="00F7691A">
        <w:tc>
          <w:tcPr>
            <w:tcW w:w="8238" w:type="dxa"/>
            <w:shd w:val="clear" w:color="auto" w:fill="auto"/>
          </w:tcPr>
          <w:p w14:paraId="16184087" w14:textId="77777777" w:rsidR="00E33977" w:rsidRDefault="00E33977" w:rsidP="00583379">
            <w:pPr>
              <w:pStyle w:val="Text1"/>
              <w:numPr>
                <w:ilvl w:val="0"/>
                <w:numId w:val="15"/>
              </w:numPr>
              <w:spacing w:before="40" w:after="40"/>
              <w:rPr>
                <w:noProof/>
              </w:rPr>
            </w:pPr>
            <w:r>
              <w:t>in een definitieve rechterlijke beslissing of een definitief administratief besluit is vastgesteld dat de persoon niet heeft voldaan aan zijn verplichtingen tot betaling van belastingen of socialezekerheidsbijdragen volgens het recht van het land waar hij is gevestigd, van het land waar de aanbestedende dienst is gevestigd, dan wel van het land waar de opdracht wordt uitgevoerd;</w:t>
            </w:r>
          </w:p>
        </w:tc>
        <w:tc>
          <w:tcPr>
            <w:tcW w:w="812" w:type="dxa"/>
            <w:shd w:val="clear" w:color="auto" w:fill="auto"/>
          </w:tcPr>
          <w:p w14:paraId="1618408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5D5C66">
              <w:rPr>
                <w:noProof/>
              </w:rPr>
            </w:r>
            <w:r w:rsidR="005D5C66">
              <w:rPr>
                <w:noProof/>
              </w:rPr>
              <w:fldChar w:fldCharType="separate"/>
            </w:r>
            <w:r>
              <w:rPr>
                <w:noProof/>
              </w:rPr>
              <w:fldChar w:fldCharType="end"/>
            </w:r>
            <w:bookmarkEnd w:id="0"/>
          </w:p>
        </w:tc>
        <w:tc>
          <w:tcPr>
            <w:tcW w:w="705" w:type="dxa"/>
            <w:shd w:val="clear" w:color="auto" w:fill="auto"/>
          </w:tcPr>
          <w:p w14:paraId="1618408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7D7A5F" w14:paraId="1618408D" w14:textId="77777777" w:rsidTr="00F7691A">
        <w:tc>
          <w:tcPr>
            <w:tcW w:w="8238" w:type="dxa"/>
            <w:shd w:val="clear" w:color="auto" w:fill="auto"/>
          </w:tcPr>
          <w:p w14:paraId="1618408B" w14:textId="77777777" w:rsidR="007D7A5F" w:rsidRDefault="007D7A5F" w:rsidP="00583379">
            <w:pPr>
              <w:pStyle w:val="Text1"/>
              <w:numPr>
                <w:ilvl w:val="0"/>
                <w:numId w:val="15"/>
              </w:numPr>
              <w:spacing w:before="40" w:after="40"/>
              <w:rPr>
                <w:noProof/>
              </w:rPr>
            </w:pPr>
            <w:r>
              <w:t>in een definitieve rechterlijke beslissing of een definitief administratief besluit is vastgesteld dat de persoon een ernstige beroepsfout heeft gemaakt doordat hij de toepasselijke wet- of regelgeving of de ethische normen van de beroepsgroep waartoe hij behoort, heeft overtreden of doordat hij onrechtmatig gedrag heeft vertoond dat invloed heeft op zijn professionele geloofwaardigheid wanneer dit gedrag voortvloeit uit kwaad opzet of grove nalatigheid, met name:</w:t>
            </w:r>
          </w:p>
        </w:tc>
        <w:tc>
          <w:tcPr>
            <w:tcW w:w="1517" w:type="dxa"/>
            <w:gridSpan w:val="2"/>
            <w:shd w:val="clear" w:color="auto" w:fill="auto"/>
          </w:tcPr>
          <w:p w14:paraId="1618408C" w14:textId="77777777" w:rsidR="007D7A5F" w:rsidRDefault="007D7A5F" w:rsidP="00583379">
            <w:pPr>
              <w:spacing w:before="240" w:after="120"/>
              <w:jc w:val="both"/>
              <w:rPr>
                <w:noProof/>
              </w:rPr>
            </w:pPr>
          </w:p>
        </w:tc>
      </w:tr>
      <w:tr w:rsidR="00E33977" w14:paraId="16184091" w14:textId="77777777" w:rsidTr="00F7691A">
        <w:tc>
          <w:tcPr>
            <w:tcW w:w="8238" w:type="dxa"/>
            <w:shd w:val="clear" w:color="auto" w:fill="auto"/>
          </w:tcPr>
          <w:p w14:paraId="1618408E" w14:textId="77777777" w:rsidR="00E33977" w:rsidRDefault="00E33977" w:rsidP="00251321">
            <w:pPr>
              <w:pStyle w:val="Text1"/>
              <w:spacing w:before="40" w:after="40"/>
              <w:ind w:left="709"/>
              <w:rPr>
                <w:noProof/>
              </w:rPr>
            </w:pPr>
            <w:bookmarkStart w:id="1" w:name="_DV_C368"/>
            <w:r>
              <w:rPr>
                <w:color w:val="000000"/>
              </w:rPr>
              <w:t xml:space="preserve">i) het op frauduleuze of nalatige wijze afleggen van valse verklaringen over de informatie die wordt verlangd voor de verificatie van de afwezigheid van gronden voor uitsluiting of de vervulling van </w:t>
            </w:r>
            <w:r>
              <w:rPr>
                <w:color w:val="000000"/>
              </w:rPr>
              <w:lastRenderedPageBreak/>
              <w:t>selectiecriteria of bij de uitvoering van een opdracht;</w:t>
            </w:r>
            <w:bookmarkEnd w:id="1"/>
          </w:p>
        </w:tc>
        <w:tc>
          <w:tcPr>
            <w:tcW w:w="812" w:type="dxa"/>
            <w:shd w:val="clear" w:color="auto" w:fill="auto"/>
          </w:tcPr>
          <w:p w14:paraId="1618408F"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9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95" w14:textId="77777777" w:rsidTr="00F7691A">
        <w:tc>
          <w:tcPr>
            <w:tcW w:w="8238" w:type="dxa"/>
            <w:shd w:val="clear" w:color="auto" w:fill="auto"/>
          </w:tcPr>
          <w:p w14:paraId="16184092" w14:textId="77777777" w:rsidR="00C475D8" w:rsidRDefault="00C475D8" w:rsidP="00583379">
            <w:pPr>
              <w:pStyle w:val="Text1"/>
              <w:spacing w:before="40" w:after="40"/>
              <w:ind w:left="709"/>
              <w:rPr>
                <w:noProof/>
              </w:rPr>
            </w:pPr>
            <w:bookmarkStart w:id="2" w:name="_DV_C369"/>
            <w:r>
              <w:rPr>
                <w:color w:val="000000"/>
              </w:rPr>
              <w:lastRenderedPageBreak/>
              <w:t>ii) het sluiten van een overeenkomst met andere personen met als doel de mededinging te vervalsen;</w:t>
            </w:r>
            <w:bookmarkEnd w:id="2"/>
          </w:p>
        </w:tc>
        <w:tc>
          <w:tcPr>
            <w:tcW w:w="812" w:type="dxa"/>
            <w:shd w:val="clear" w:color="auto" w:fill="auto"/>
          </w:tcPr>
          <w:p w14:paraId="1618409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99" w14:textId="77777777" w:rsidTr="00F7691A">
        <w:tc>
          <w:tcPr>
            <w:tcW w:w="8238" w:type="dxa"/>
            <w:shd w:val="clear" w:color="auto" w:fill="auto"/>
          </w:tcPr>
          <w:p w14:paraId="16184096" w14:textId="77777777" w:rsidR="00C475D8" w:rsidRDefault="00C475D8" w:rsidP="00583379">
            <w:pPr>
              <w:pStyle w:val="Text1"/>
              <w:spacing w:before="40" w:after="40"/>
              <w:ind w:left="709"/>
              <w:rPr>
                <w:noProof/>
              </w:rPr>
            </w:pPr>
            <w:bookmarkStart w:id="3" w:name="_DV_C371"/>
            <w:r>
              <w:rPr>
                <w:color w:val="000000"/>
              </w:rPr>
              <w:t>iii) het schenden van intellectuele-eigendomsrechten;</w:t>
            </w:r>
            <w:bookmarkEnd w:id="3"/>
          </w:p>
        </w:tc>
        <w:tc>
          <w:tcPr>
            <w:tcW w:w="812" w:type="dxa"/>
            <w:shd w:val="clear" w:color="auto" w:fill="auto"/>
          </w:tcPr>
          <w:p w14:paraId="1618409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9D" w14:textId="77777777" w:rsidTr="00F7691A">
        <w:tc>
          <w:tcPr>
            <w:tcW w:w="8238" w:type="dxa"/>
            <w:shd w:val="clear" w:color="auto" w:fill="auto"/>
          </w:tcPr>
          <w:p w14:paraId="1618409A" w14:textId="77777777" w:rsidR="00C475D8" w:rsidRDefault="00C475D8" w:rsidP="00583379">
            <w:pPr>
              <w:pStyle w:val="Text1"/>
              <w:spacing w:before="40" w:after="40"/>
              <w:ind w:left="709"/>
              <w:rPr>
                <w:noProof/>
              </w:rPr>
            </w:pPr>
            <w:bookmarkStart w:id="4" w:name="_DV_C372"/>
            <w:r>
              <w:rPr>
                <w:color w:val="000000"/>
              </w:rPr>
              <w:t>iv) het pogen het besluitvormingsproces van de aanbestedende dienst tijdens de gunningsprocedure te beïnvloeden;</w:t>
            </w:r>
            <w:bookmarkEnd w:id="4"/>
          </w:p>
        </w:tc>
        <w:tc>
          <w:tcPr>
            <w:tcW w:w="812" w:type="dxa"/>
            <w:shd w:val="clear" w:color="auto" w:fill="auto"/>
          </w:tcPr>
          <w:p w14:paraId="1618409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9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A1" w14:textId="77777777" w:rsidTr="00F7691A">
        <w:tc>
          <w:tcPr>
            <w:tcW w:w="8238" w:type="dxa"/>
            <w:shd w:val="clear" w:color="auto" w:fill="auto"/>
          </w:tcPr>
          <w:p w14:paraId="1618409E" w14:textId="77777777" w:rsidR="00C475D8" w:rsidRPr="00583379" w:rsidRDefault="00C475D8" w:rsidP="00583379">
            <w:pPr>
              <w:pStyle w:val="Text1"/>
              <w:spacing w:before="40" w:after="40"/>
              <w:ind w:left="709"/>
              <w:rPr>
                <w:color w:val="000000"/>
              </w:rPr>
            </w:pPr>
            <w:bookmarkStart w:id="5" w:name="_DV_C373"/>
            <w:r>
              <w:rPr>
                <w:color w:val="000000"/>
              </w:rPr>
              <w:t>v) het pogen vertrouwelijke informatie te verkrijgen die de persoon onrechtmatige voordelen kan opleveren in de gunningsprocedure</w:t>
            </w:r>
            <w:bookmarkEnd w:id="5"/>
            <w:r>
              <w:rPr>
                <w:color w:val="000000"/>
              </w:rPr>
              <w:t>;</w:t>
            </w:r>
            <w:r>
              <w:rPr>
                <w:b/>
                <w:i/>
                <w:color w:val="000000"/>
              </w:rPr>
              <w:t xml:space="preserve"> </w:t>
            </w:r>
          </w:p>
        </w:tc>
        <w:tc>
          <w:tcPr>
            <w:tcW w:w="812" w:type="dxa"/>
            <w:shd w:val="clear" w:color="auto" w:fill="auto"/>
          </w:tcPr>
          <w:p w14:paraId="1618409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A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7D7A5F" w14:paraId="161840A4" w14:textId="77777777" w:rsidTr="00F7691A">
        <w:tc>
          <w:tcPr>
            <w:tcW w:w="8238" w:type="dxa"/>
            <w:shd w:val="clear" w:color="auto" w:fill="auto"/>
          </w:tcPr>
          <w:p w14:paraId="161840A2" w14:textId="77777777" w:rsidR="007D7A5F" w:rsidRPr="00583379" w:rsidRDefault="007D7A5F" w:rsidP="00A40405">
            <w:pPr>
              <w:pStyle w:val="Text1"/>
              <w:numPr>
                <w:ilvl w:val="0"/>
                <w:numId w:val="15"/>
              </w:numPr>
              <w:spacing w:before="40" w:after="40"/>
              <w:ind w:left="357" w:hanging="357"/>
              <w:rPr>
                <w:color w:val="000000"/>
              </w:rPr>
            </w:pPr>
            <w:r>
              <w:t>in een definitieve rechterlijke beslissing is vastgesteld dat de persoon zich schuldig heeft gemaakt aan een van de volgende feiten:</w:t>
            </w:r>
          </w:p>
        </w:tc>
        <w:tc>
          <w:tcPr>
            <w:tcW w:w="1517" w:type="dxa"/>
            <w:gridSpan w:val="2"/>
            <w:shd w:val="clear" w:color="auto" w:fill="auto"/>
          </w:tcPr>
          <w:p w14:paraId="161840A3" w14:textId="77777777" w:rsidR="007D7A5F" w:rsidRDefault="007D7A5F" w:rsidP="00583379">
            <w:pPr>
              <w:spacing w:before="240" w:after="120"/>
              <w:jc w:val="both"/>
              <w:rPr>
                <w:noProof/>
              </w:rPr>
            </w:pPr>
          </w:p>
        </w:tc>
      </w:tr>
      <w:tr w:rsidR="00C475D8" w14:paraId="161840A8" w14:textId="77777777" w:rsidTr="00F7691A">
        <w:tc>
          <w:tcPr>
            <w:tcW w:w="8238" w:type="dxa"/>
            <w:shd w:val="clear" w:color="auto" w:fill="auto"/>
          </w:tcPr>
          <w:p w14:paraId="161840A5" w14:textId="77777777" w:rsidR="00C475D8" w:rsidRDefault="00C475D8" w:rsidP="00583379">
            <w:pPr>
              <w:pStyle w:val="Text1"/>
              <w:spacing w:before="40" w:after="40"/>
              <w:ind w:left="709"/>
              <w:rPr>
                <w:noProof/>
              </w:rPr>
            </w:pPr>
            <w:r>
              <w:rPr>
                <w:color w:val="000000"/>
              </w:rPr>
              <w:t>i) fraude in de zin van artikel 1 van de Overeenkomst aangaande de bescherming van de financiële belangen van de Europese Gemeenschappen, vastgesteld bij akte van de Raad van 26 juli 1995</w:t>
            </w:r>
            <w:bookmarkStart w:id="6" w:name="_DV_C378"/>
            <w:r>
              <w:rPr>
                <w:color w:val="000000"/>
              </w:rPr>
              <w:t>;</w:t>
            </w:r>
            <w:bookmarkEnd w:id="6"/>
          </w:p>
        </w:tc>
        <w:tc>
          <w:tcPr>
            <w:tcW w:w="812" w:type="dxa"/>
            <w:shd w:val="clear" w:color="auto" w:fill="auto"/>
          </w:tcPr>
          <w:p w14:paraId="161840A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A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AC" w14:textId="77777777" w:rsidTr="00F7691A">
        <w:tc>
          <w:tcPr>
            <w:tcW w:w="8238" w:type="dxa"/>
            <w:shd w:val="clear" w:color="auto" w:fill="auto"/>
          </w:tcPr>
          <w:p w14:paraId="161840A9" w14:textId="77777777" w:rsidR="00C475D8" w:rsidRDefault="00C475D8" w:rsidP="004B29AF">
            <w:pPr>
              <w:pStyle w:val="Text1"/>
              <w:spacing w:before="40" w:after="40"/>
              <w:ind w:left="709"/>
              <w:rPr>
                <w:noProof/>
              </w:rPr>
            </w:pPr>
            <w:bookmarkStart w:id="7" w:name="_DV_C379"/>
            <w:r>
              <w:rPr>
                <w:color w:val="000000"/>
              </w:rPr>
              <w:t>ii) corruptie, als omschreven in artikel 3 van de Overeenkomst ter bestrijding van corruptie waarbij ambtenaren van de Europese Gemeenschappen of van de lidstaten van de Europese Unie betrokken zijn vastgesteld bij akte van de Raad van 26 mei 1997</w:t>
            </w:r>
            <w:bookmarkStart w:id="8" w:name="_DV_C381"/>
            <w:bookmarkEnd w:id="7"/>
            <w:r>
              <w:rPr>
                <w:color w:val="000000"/>
              </w:rPr>
              <w:t>, en in artikel 2, lid 1, van Kaderbesluit 2003/568/JBZ van de Raad</w:t>
            </w:r>
            <w:bookmarkStart w:id="9" w:name="_DV_C383"/>
            <w:bookmarkEnd w:id="8"/>
            <w:r>
              <w:rPr>
                <w:color w:val="000000"/>
              </w:rPr>
              <w:t>, alsook corruptie als omschreven in het recht van het land waar de aanbestedende dienst is gevestigd, het land waar de persoon is gevestigd, dan wel het land waar de opdracht wordt uitgevoerd;</w:t>
            </w:r>
            <w:bookmarkEnd w:id="9"/>
          </w:p>
        </w:tc>
        <w:tc>
          <w:tcPr>
            <w:tcW w:w="812" w:type="dxa"/>
            <w:shd w:val="clear" w:color="auto" w:fill="auto"/>
          </w:tcPr>
          <w:p w14:paraId="161840A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A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B0" w14:textId="77777777" w:rsidTr="00F7691A">
        <w:tc>
          <w:tcPr>
            <w:tcW w:w="8238" w:type="dxa"/>
            <w:shd w:val="clear" w:color="auto" w:fill="auto"/>
          </w:tcPr>
          <w:p w14:paraId="161840AD" w14:textId="77777777" w:rsidR="00C475D8" w:rsidRDefault="00C475D8" w:rsidP="00583379">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deelneming aan een criminele organisatie </w:t>
            </w:r>
            <w:bookmarkStart w:id="12" w:name="_DV_C385"/>
            <w:r>
              <w:rPr>
                <w:color w:val="000000"/>
              </w:rPr>
              <w:t>in de zin van artikel 2 van Kaderbesluit 2008/841/JBZ van de Raad</w:t>
            </w:r>
            <w:bookmarkStart w:id="13" w:name="_DV_C387"/>
            <w:bookmarkEnd w:id="12"/>
            <w:r>
              <w:rPr>
                <w:color w:val="000000"/>
              </w:rPr>
              <w:t>;</w:t>
            </w:r>
            <w:bookmarkEnd w:id="13"/>
          </w:p>
        </w:tc>
        <w:tc>
          <w:tcPr>
            <w:tcW w:w="812" w:type="dxa"/>
            <w:shd w:val="clear" w:color="auto" w:fill="auto"/>
          </w:tcPr>
          <w:p w14:paraId="161840A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A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B4" w14:textId="77777777" w:rsidTr="00F7691A">
        <w:tc>
          <w:tcPr>
            <w:tcW w:w="8238" w:type="dxa"/>
            <w:shd w:val="clear" w:color="auto" w:fill="auto"/>
          </w:tcPr>
          <w:p w14:paraId="161840B1" w14:textId="77777777" w:rsidR="00C475D8" w:rsidRDefault="003E4DCC" w:rsidP="00583379">
            <w:pPr>
              <w:pStyle w:val="Text1"/>
              <w:spacing w:before="40" w:after="40"/>
              <w:ind w:left="709"/>
              <w:rPr>
                <w:noProof/>
              </w:rPr>
            </w:pPr>
            <w:r>
              <w:t>iv)</w:t>
            </w:r>
            <w:bookmarkStart w:id="14" w:name="_DV_M251"/>
            <w:bookmarkEnd w:id="14"/>
            <w:r>
              <w:t xml:space="preserve"> witwassen van geld</w:t>
            </w:r>
            <w:bookmarkStart w:id="15" w:name="_DV_C391"/>
            <w:r>
              <w:t xml:space="preserve"> of</w:t>
            </w:r>
            <w:bookmarkStart w:id="16" w:name="_DV_M252"/>
            <w:bookmarkEnd w:id="15"/>
            <w:bookmarkEnd w:id="16"/>
            <w:r>
              <w:t xml:space="preserve"> financiering van terrorisme</w:t>
            </w:r>
            <w:bookmarkStart w:id="17" w:name="_DV_C392"/>
            <w:r>
              <w:t xml:space="preserve"> in de zin van artikel 1 van Richtlijn 2005/60/EG van het Europees Parlement en de Raad</w:t>
            </w:r>
            <w:bookmarkStart w:id="18" w:name="_DV_C394"/>
            <w:bookmarkEnd w:id="17"/>
            <w:r>
              <w:t>;</w:t>
            </w:r>
            <w:bookmarkEnd w:id="18"/>
          </w:p>
        </w:tc>
        <w:tc>
          <w:tcPr>
            <w:tcW w:w="812" w:type="dxa"/>
            <w:shd w:val="clear" w:color="auto" w:fill="auto"/>
          </w:tcPr>
          <w:p w14:paraId="161840B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B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B8" w14:textId="77777777" w:rsidTr="00F7691A">
        <w:tc>
          <w:tcPr>
            <w:tcW w:w="8238" w:type="dxa"/>
            <w:shd w:val="clear" w:color="auto" w:fill="auto"/>
          </w:tcPr>
          <w:p w14:paraId="161840B5" w14:textId="77777777" w:rsidR="00C475D8" w:rsidRDefault="00C475D8" w:rsidP="00583379">
            <w:pPr>
              <w:pStyle w:val="Text1"/>
              <w:spacing w:before="40" w:after="40"/>
              <w:ind w:left="709"/>
              <w:rPr>
                <w:noProof/>
              </w:rPr>
            </w:pPr>
            <w:bookmarkStart w:id="19" w:name="_DV_C395"/>
            <w:r>
              <w:t>v)</w:t>
            </w:r>
            <w:bookmarkStart w:id="20" w:name="_DV_M253"/>
            <w:bookmarkEnd w:id="19"/>
            <w:bookmarkEnd w:id="20"/>
            <w:r>
              <w:t xml:space="preserve"> terroristische misdrijven of strafbare feiten in verband met terroristische activiteiten</w:t>
            </w:r>
            <w:bookmarkStart w:id="21" w:name="_DV_C397"/>
            <w:r>
              <w:t xml:space="preserve"> in de zin van respectievelijk de artikelen 1 en 3 van Kaderbesluit 2002/475/JBZ van de Raad</w:t>
            </w:r>
            <w:bookmarkStart w:id="22" w:name="_DV_C399"/>
            <w:bookmarkEnd w:id="21"/>
            <w:r>
              <w:t>, dan wel uitlokking van, medeplichtigheid aan of poging tot het plegen van zodanig misdrijf of strafbaar feit, als bedoeld in artikel 4 van genoemd besluit;</w:t>
            </w:r>
            <w:bookmarkEnd w:id="22"/>
          </w:p>
        </w:tc>
        <w:tc>
          <w:tcPr>
            <w:tcW w:w="812" w:type="dxa"/>
            <w:shd w:val="clear" w:color="auto" w:fill="auto"/>
          </w:tcPr>
          <w:p w14:paraId="161840B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B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BC" w14:textId="77777777" w:rsidTr="00F7691A">
        <w:tc>
          <w:tcPr>
            <w:tcW w:w="8238" w:type="dxa"/>
            <w:shd w:val="clear" w:color="auto" w:fill="auto"/>
          </w:tcPr>
          <w:p w14:paraId="161840B9" w14:textId="77777777" w:rsidR="00C475D8" w:rsidRPr="00583379" w:rsidRDefault="00C475D8" w:rsidP="00583379">
            <w:pPr>
              <w:pStyle w:val="Text1"/>
              <w:spacing w:before="40" w:after="40"/>
              <w:ind w:left="709"/>
              <w:rPr>
                <w:color w:val="000000"/>
              </w:rPr>
            </w:pPr>
            <w:bookmarkStart w:id="23" w:name="_DV_C400"/>
            <w:r>
              <w:t>vi)</w:t>
            </w:r>
            <w:bookmarkStart w:id="24" w:name="_DV_M254"/>
            <w:bookmarkEnd w:id="23"/>
            <w:bookmarkEnd w:id="24"/>
            <w:r>
              <w:t xml:space="preserve"> kinderarbeid of andere vormen van mensenhandel</w:t>
            </w:r>
            <w:bookmarkStart w:id="25" w:name="_DV_C402"/>
            <w:r>
              <w:t xml:space="preserve"> in de zin van artikel 2 van Richtlijn 2011/36/EU van het Europees Parlement en de Raad</w:t>
            </w:r>
            <w:bookmarkStart w:id="26" w:name="_DV_C404"/>
            <w:bookmarkEnd w:id="25"/>
            <w:r>
              <w:t>;</w:t>
            </w:r>
            <w:bookmarkEnd w:id="26"/>
          </w:p>
        </w:tc>
        <w:tc>
          <w:tcPr>
            <w:tcW w:w="812" w:type="dxa"/>
            <w:shd w:val="clear" w:color="auto" w:fill="auto"/>
          </w:tcPr>
          <w:p w14:paraId="161840B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B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C0" w14:textId="77777777" w:rsidTr="00F7691A">
        <w:tc>
          <w:tcPr>
            <w:tcW w:w="8238" w:type="dxa"/>
            <w:shd w:val="clear" w:color="auto" w:fill="auto"/>
          </w:tcPr>
          <w:p w14:paraId="161840BD" w14:textId="77777777" w:rsidR="00C475D8" w:rsidRPr="00583379" w:rsidRDefault="00C475D8" w:rsidP="00583379">
            <w:pPr>
              <w:pStyle w:val="Text1"/>
              <w:numPr>
                <w:ilvl w:val="0"/>
                <w:numId w:val="15"/>
              </w:numPr>
              <w:spacing w:before="40" w:after="40"/>
              <w:rPr>
                <w:color w:val="000000"/>
              </w:rPr>
            </w:pPr>
            <w:r>
              <w:t xml:space="preserve">de persoon is aanzienlijk tekortgeschoten in de nakoming van belangrijke verplichtingen bij de uitvoering van een uit de begroting van de Unie gefinancierde opdracht, hetgeen tot vroegtijdige beëindiging ervan of tot oplegging van een schadevergoeding of andere contractuele sancties heeft geleid of na toetsen, audits of onderzoek door een ordonnateur, OLAF of de Rekenkamer aan het licht is gekomen; </w:t>
            </w:r>
          </w:p>
        </w:tc>
        <w:tc>
          <w:tcPr>
            <w:tcW w:w="812" w:type="dxa"/>
            <w:shd w:val="clear" w:color="auto" w:fill="auto"/>
          </w:tcPr>
          <w:p w14:paraId="161840B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B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C475D8" w14:paraId="161840C4" w14:textId="77777777" w:rsidTr="00F7691A">
        <w:tc>
          <w:tcPr>
            <w:tcW w:w="8238" w:type="dxa"/>
            <w:shd w:val="clear" w:color="auto" w:fill="auto"/>
          </w:tcPr>
          <w:p w14:paraId="161840C1" w14:textId="77777777" w:rsidR="00C475D8" w:rsidRDefault="00C475D8" w:rsidP="00A04C4A">
            <w:pPr>
              <w:pStyle w:val="Text1"/>
              <w:numPr>
                <w:ilvl w:val="0"/>
                <w:numId w:val="15"/>
              </w:numPr>
              <w:spacing w:before="40" w:after="40"/>
              <w:rPr>
                <w:noProof/>
              </w:rPr>
            </w:pPr>
            <w:bookmarkStart w:id="27" w:name="_DV_C410"/>
            <w:r>
              <w:rPr>
                <w:color w:val="000000"/>
              </w:rPr>
              <w:t>in een definitieve rechterlijke beslissing of een definitief administratief besluit is vastgesteld dat de persoon een onregelmatigheid in de zin van artikel 1, lid</w:t>
            </w:r>
            <w:r w:rsidR="00A04C4A">
              <w:rPr>
                <w:color w:val="000000"/>
              </w:rPr>
              <w:t> </w:t>
            </w:r>
            <w:r>
              <w:rPr>
                <w:color w:val="000000"/>
              </w:rPr>
              <w:t>2, van Verordening (EG, Euratom) nr. 2988/95 van de Raad</w:t>
            </w:r>
            <w:bookmarkEnd w:id="27"/>
            <w:r>
              <w:rPr>
                <w:color w:val="000000"/>
              </w:rPr>
              <w:t xml:space="preserve"> heeft begaan;</w:t>
            </w:r>
          </w:p>
        </w:tc>
        <w:tc>
          <w:tcPr>
            <w:tcW w:w="812" w:type="dxa"/>
            <w:shd w:val="clear" w:color="auto" w:fill="auto"/>
          </w:tcPr>
          <w:p w14:paraId="161840C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C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116FF1" w14:paraId="161840CD" w14:textId="77777777" w:rsidTr="00F7691A">
        <w:tc>
          <w:tcPr>
            <w:tcW w:w="8238" w:type="dxa"/>
            <w:shd w:val="clear" w:color="auto" w:fill="auto"/>
          </w:tcPr>
          <w:p w14:paraId="161840C5" w14:textId="77777777" w:rsidR="00116FF1" w:rsidRDefault="00116FF1" w:rsidP="00583379">
            <w:pPr>
              <w:pStyle w:val="Text1"/>
              <w:numPr>
                <w:ilvl w:val="0"/>
                <w:numId w:val="15"/>
              </w:numPr>
              <w:spacing w:before="40" w:after="40"/>
              <w:rPr>
                <w:color w:val="000000"/>
              </w:rPr>
            </w:pPr>
            <w:r>
              <w:rPr>
                <w:color w:val="000000"/>
              </w:rPr>
              <w:t>in het geval van een ernstige beroepsfout, fraude, corruptie of andere strafbare feiten, ernstige tekortkomingen bij de uitvoering van een opdracht of bij een onregelmatigheid, is er ten aanzien van de persoon sprake van:</w:t>
            </w:r>
          </w:p>
          <w:p w14:paraId="161840C6" w14:textId="77777777" w:rsidR="00116FF1" w:rsidRDefault="00E43AE4" w:rsidP="006C6DFD">
            <w:pPr>
              <w:pStyle w:val="Text1"/>
              <w:numPr>
                <w:ilvl w:val="0"/>
                <w:numId w:val="25"/>
              </w:numPr>
              <w:spacing w:before="40" w:after="40"/>
              <w:ind w:left="709" w:firstLine="0"/>
              <w:rPr>
                <w:color w:val="000000"/>
              </w:rPr>
            </w:pPr>
            <w:r>
              <w:rPr>
                <w:color w:val="000000"/>
              </w:rPr>
              <w:t xml:space="preserve"> </w:t>
            </w:r>
            <w:r w:rsidR="00116FF1">
              <w:rPr>
                <w:color w:val="000000"/>
              </w:rPr>
              <w:t xml:space="preserve">feiten die zijn vastgesteld in het kader van audits of onderzoek door de Rekenkamer, OLAF, of van een interne audit, of enige andere toets, audit </w:t>
            </w:r>
            <w:r w:rsidR="00116FF1">
              <w:rPr>
                <w:color w:val="000000"/>
              </w:rPr>
              <w:lastRenderedPageBreak/>
              <w:t>of controle uitgevoerd onder verantwoordelijkheid van een ordonnateur van een EU-instelling, een Europees bureau of een EU-agentschap of -orgaan;</w:t>
            </w:r>
          </w:p>
          <w:p w14:paraId="161840C7" w14:textId="77777777" w:rsidR="00116FF1" w:rsidRDefault="00E43AE4" w:rsidP="006C6DFD">
            <w:pPr>
              <w:pStyle w:val="Text1"/>
              <w:numPr>
                <w:ilvl w:val="0"/>
                <w:numId w:val="25"/>
              </w:numPr>
              <w:spacing w:before="40" w:after="40"/>
              <w:ind w:left="709" w:firstLine="0"/>
              <w:rPr>
                <w:color w:val="000000"/>
              </w:rPr>
            </w:pPr>
            <w:r>
              <w:rPr>
                <w:color w:val="000000"/>
              </w:rPr>
              <w:t xml:space="preserve"> </w:t>
            </w:r>
            <w:r w:rsidR="00116FF1">
              <w:rPr>
                <w:color w:val="000000"/>
              </w:rPr>
              <w:t>niet-definitieve administratieve besluiten die tuchtmaatregelen kunnen omvatten welke zijn genomen door het bevoegde toezichthoudende orgaan dat verantwoordelijk is voor de verificatie van de toepassing van normen inzake beroepsethiek;</w:t>
            </w:r>
          </w:p>
          <w:p w14:paraId="161840C8" w14:textId="77777777" w:rsidR="00116FF1" w:rsidRDefault="00E43AE4" w:rsidP="006C6DFD">
            <w:pPr>
              <w:pStyle w:val="Text1"/>
              <w:numPr>
                <w:ilvl w:val="0"/>
                <w:numId w:val="25"/>
              </w:numPr>
              <w:spacing w:before="40" w:after="40"/>
              <w:ind w:left="709" w:firstLine="0"/>
              <w:rPr>
                <w:color w:val="000000"/>
              </w:rPr>
            </w:pPr>
            <w:r>
              <w:rPr>
                <w:color w:val="000000"/>
              </w:rPr>
              <w:t xml:space="preserve"> </w:t>
            </w:r>
            <w:r w:rsidR="00116FF1">
              <w:rPr>
                <w:color w:val="000000"/>
              </w:rPr>
              <w:t>besluiten van de ECB, de EIB, het Europees Investeringsfonds of internationale organisaties;</w:t>
            </w:r>
          </w:p>
          <w:p w14:paraId="161840C9" w14:textId="77777777" w:rsidR="00116FF1" w:rsidRDefault="00E43AE4" w:rsidP="006C6DFD">
            <w:pPr>
              <w:pStyle w:val="Text1"/>
              <w:numPr>
                <w:ilvl w:val="0"/>
                <w:numId w:val="25"/>
              </w:numPr>
              <w:spacing w:before="40" w:after="40"/>
              <w:ind w:left="709" w:firstLine="0"/>
              <w:rPr>
                <w:color w:val="000000"/>
              </w:rPr>
            </w:pPr>
            <w:r>
              <w:rPr>
                <w:color w:val="000000"/>
              </w:rPr>
              <w:t xml:space="preserve"> </w:t>
            </w:r>
            <w:r w:rsidR="00116FF1">
              <w:rPr>
                <w:color w:val="000000"/>
              </w:rPr>
              <w:t>besluiten van de Commissie betreffende schending van de mededingingsregels van de Unie of van een nationale bevoegde instantie betreffende de schending van het mededingingsrecht van de Unie of van het nationale mededingingsrecht, of</w:t>
            </w:r>
          </w:p>
          <w:p w14:paraId="161840CA" w14:textId="77777777" w:rsidR="00116FF1" w:rsidRPr="00583379" w:rsidRDefault="00E43AE4" w:rsidP="003E5E5C">
            <w:pPr>
              <w:pStyle w:val="Text1"/>
              <w:numPr>
                <w:ilvl w:val="0"/>
                <w:numId w:val="25"/>
              </w:numPr>
              <w:spacing w:before="40" w:after="40"/>
              <w:ind w:left="709" w:firstLine="0"/>
              <w:rPr>
                <w:color w:val="000000"/>
              </w:rPr>
            </w:pPr>
            <w:r>
              <w:rPr>
                <w:color w:val="000000"/>
              </w:rPr>
              <w:t xml:space="preserve"> </w:t>
            </w:r>
            <w:r w:rsidR="00116FF1">
              <w:rPr>
                <w:color w:val="000000"/>
              </w:rPr>
              <w:t xml:space="preserve">besluiten houdende uitsluiting genomen door een ordonnateur van een EU-instelling, een Europees bureau of een EU-agentschap of -orgaan; </w:t>
            </w:r>
          </w:p>
        </w:tc>
        <w:tc>
          <w:tcPr>
            <w:tcW w:w="812" w:type="dxa"/>
            <w:shd w:val="clear" w:color="auto" w:fill="auto"/>
          </w:tcPr>
          <w:p w14:paraId="161840CB"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705" w:type="dxa"/>
            <w:shd w:val="clear" w:color="auto" w:fill="auto"/>
          </w:tcPr>
          <w:p w14:paraId="161840C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bl>
    <w:p w14:paraId="161840CE" w14:textId="77777777" w:rsidR="00897553" w:rsidRPr="0024225B" w:rsidRDefault="00897553" w:rsidP="0024225B">
      <w:pPr>
        <w:pStyle w:val="Title"/>
        <w:jc w:val="both"/>
        <w:rPr>
          <w:b w:val="0"/>
          <w:smallCaps w:val="0"/>
        </w:rPr>
      </w:pPr>
      <w:bookmarkStart w:id="28" w:name="_DV_C376"/>
      <w:r>
        <w:lastRenderedPageBreak/>
        <w:t>II – Uitsluitingssituaties betreffende natuurlijke personen die bij de rechtspersoon vertegenwoordigings-, beslissings- of controlebevoegdheid hebben</w:t>
      </w:r>
    </w:p>
    <w:p w14:paraId="161840CF" w14:textId="77777777" w:rsidR="00897553" w:rsidRPr="0024225B" w:rsidRDefault="001F135A" w:rsidP="0024225B">
      <w:pPr>
        <w:autoSpaceDE w:val="0"/>
        <w:autoSpaceDN w:val="0"/>
        <w:adjustRightInd w:val="0"/>
        <w:spacing w:before="120" w:after="240"/>
        <w:jc w:val="center"/>
        <w:rPr>
          <w:i/>
          <w:noProof/>
        </w:rPr>
      </w:pPr>
      <w:r>
        <w:rPr>
          <w:b/>
          <w:i/>
          <w:noProof/>
          <w:u w:val="single"/>
        </w:rPr>
        <w:t>Geldt niet voor natuurlijke personen, lidstaten en lokale overheden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1"/>
        <w:gridCol w:w="664"/>
        <w:gridCol w:w="683"/>
        <w:gridCol w:w="703"/>
      </w:tblGrid>
      <w:tr w:rsidR="001F135A" w14:paraId="161840D4" w14:textId="77777777" w:rsidTr="001F135A">
        <w:tc>
          <w:tcPr>
            <w:tcW w:w="7763" w:type="dxa"/>
            <w:shd w:val="clear" w:color="auto" w:fill="auto"/>
            <w:vAlign w:val="center"/>
          </w:tcPr>
          <w:p w14:paraId="161840D0" w14:textId="77777777" w:rsidR="001F135A" w:rsidRPr="003E5E5C" w:rsidRDefault="007E73DD" w:rsidP="00FF0711">
            <w:pPr>
              <w:numPr>
                <w:ilvl w:val="0"/>
                <w:numId w:val="17"/>
              </w:numPr>
              <w:spacing w:before="40" w:after="40"/>
              <w:jc w:val="both"/>
              <w:rPr>
                <w:noProof/>
              </w:rPr>
            </w:pPr>
            <w:r>
              <w:t xml:space="preserve"> </w:t>
            </w:r>
            <w:r w:rsidR="001F135A">
              <w:t xml:space="preserve">verklaart dat een natuurlijke persoon die lid is van het bestuurs-, leidinggevend of toezichthoudend orgaan van de bovengenoemde rechtspersoon of die vertegenwoordigings-, beslissings- of controlebevoegdheid ten aanzien van de bovengenoemde rechtspersoon heeft (het gaat hierbij om directeuren en leden van de leidinggevende of toezichthoudende organen, en gevallen waarin een natuurlijke persoon meerderheidsaandeelhouder is), zich in een van de onderstaande situaties bevindt: </w:t>
            </w:r>
          </w:p>
        </w:tc>
        <w:tc>
          <w:tcPr>
            <w:tcW w:w="670" w:type="dxa"/>
            <w:shd w:val="clear" w:color="auto" w:fill="auto"/>
          </w:tcPr>
          <w:p w14:paraId="161840D1" w14:textId="77777777" w:rsidR="001F135A" w:rsidRDefault="001F135A" w:rsidP="00583379">
            <w:pPr>
              <w:spacing w:before="240" w:after="120"/>
              <w:jc w:val="both"/>
              <w:rPr>
                <w:noProof/>
              </w:rPr>
            </w:pPr>
            <w:r>
              <w:t>JA</w:t>
            </w:r>
          </w:p>
        </w:tc>
        <w:tc>
          <w:tcPr>
            <w:tcW w:w="614" w:type="dxa"/>
            <w:shd w:val="clear" w:color="auto" w:fill="auto"/>
          </w:tcPr>
          <w:p w14:paraId="161840D2" w14:textId="77777777" w:rsidR="001F135A" w:rsidRDefault="001F135A" w:rsidP="00583379">
            <w:pPr>
              <w:spacing w:before="240" w:after="120"/>
              <w:jc w:val="both"/>
              <w:rPr>
                <w:noProof/>
              </w:rPr>
            </w:pPr>
            <w:r>
              <w:t>NEE</w:t>
            </w:r>
          </w:p>
        </w:tc>
        <w:tc>
          <w:tcPr>
            <w:tcW w:w="614" w:type="dxa"/>
          </w:tcPr>
          <w:p w14:paraId="161840D3" w14:textId="77777777" w:rsidR="001F135A" w:rsidRDefault="001F135A" w:rsidP="00583379">
            <w:pPr>
              <w:spacing w:before="240" w:after="120"/>
              <w:jc w:val="both"/>
              <w:rPr>
                <w:noProof/>
              </w:rPr>
            </w:pPr>
            <w:r>
              <w:t>n.v.t.</w:t>
            </w:r>
          </w:p>
        </w:tc>
      </w:tr>
      <w:tr w:rsidR="001F135A" w14:paraId="161840D9" w14:textId="77777777" w:rsidTr="001F135A">
        <w:tc>
          <w:tcPr>
            <w:tcW w:w="7763" w:type="dxa"/>
            <w:shd w:val="clear" w:color="auto" w:fill="auto"/>
            <w:vAlign w:val="center"/>
          </w:tcPr>
          <w:p w14:paraId="161840D5" w14:textId="77777777" w:rsidR="001F135A" w:rsidRDefault="001F135A" w:rsidP="00583379">
            <w:pPr>
              <w:pStyle w:val="Text1"/>
              <w:spacing w:before="40" w:after="40"/>
              <w:ind w:left="360"/>
              <w:rPr>
                <w:noProof/>
              </w:rPr>
            </w:pPr>
            <w:r>
              <w:t>het hierboven onder c) bedoelde geval (ernstige beroepsfout);</w:t>
            </w:r>
          </w:p>
        </w:tc>
        <w:tc>
          <w:tcPr>
            <w:tcW w:w="670" w:type="dxa"/>
            <w:shd w:val="clear" w:color="auto" w:fill="auto"/>
            <w:vAlign w:val="center"/>
          </w:tcPr>
          <w:p w14:paraId="161840D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shd w:val="clear" w:color="auto" w:fill="auto"/>
            <w:vAlign w:val="center"/>
          </w:tcPr>
          <w:p w14:paraId="161840D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tcPr>
          <w:p w14:paraId="161840D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1F135A" w14:paraId="161840DE" w14:textId="77777777" w:rsidTr="001F135A">
        <w:tc>
          <w:tcPr>
            <w:tcW w:w="7763" w:type="dxa"/>
            <w:shd w:val="clear" w:color="auto" w:fill="auto"/>
            <w:vAlign w:val="center"/>
          </w:tcPr>
          <w:p w14:paraId="161840DA" w14:textId="77777777" w:rsidR="001F135A" w:rsidRDefault="001F135A" w:rsidP="00583379">
            <w:pPr>
              <w:pStyle w:val="Text1"/>
              <w:spacing w:before="40" w:after="40"/>
              <w:ind w:left="360"/>
              <w:rPr>
                <w:noProof/>
              </w:rPr>
            </w:pPr>
            <w:r>
              <w:t>het hierboven onder d) bedoelde geval (fraude, corruptie of andere strafbare feiten);</w:t>
            </w:r>
          </w:p>
        </w:tc>
        <w:tc>
          <w:tcPr>
            <w:tcW w:w="670" w:type="dxa"/>
            <w:shd w:val="clear" w:color="auto" w:fill="auto"/>
            <w:vAlign w:val="center"/>
          </w:tcPr>
          <w:p w14:paraId="161840D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shd w:val="clear" w:color="auto" w:fill="auto"/>
            <w:vAlign w:val="center"/>
          </w:tcPr>
          <w:p w14:paraId="161840D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tcPr>
          <w:p w14:paraId="161840D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1F135A" w14:paraId="161840E3" w14:textId="77777777" w:rsidTr="001F135A">
        <w:tc>
          <w:tcPr>
            <w:tcW w:w="7763" w:type="dxa"/>
            <w:shd w:val="clear" w:color="auto" w:fill="auto"/>
            <w:vAlign w:val="center"/>
          </w:tcPr>
          <w:p w14:paraId="161840DF" w14:textId="77777777" w:rsidR="001F135A" w:rsidRDefault="001F135A" w:rsidP="00583379">
            <w:pPr>
              <w:pStyle w:val="Text1"/>
              <w:spacing w:before="40" w:after="40"/>
              <w:ind w:left="360"/>
              <w:rPr>
                <w:noProof/>
              </w:rPr>
            </w:pPr>
            <w:r>
              <w:t>het hierboven onder e) bedoelde geval (ernstige tekortkomingen bij de uitvoering van een opdracht);</w:t>
            </w:r>
          </w:p>
        </w:tc>
        <w:tc>
          <w:tcPr>
            <w:tcW w:w="670" w:type="dxa"/>
            <w:shd w:val="clear" w:color="auto" w:fill="auto"/>
            <w:vAlign w:val="center"/>
          </w:tcPr>
          <w:p w14:paraId="161840E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shd w:val="clear" w:color="auto" w:fill="auto"/>
            <w:vAlign w:val="center"/>
          </w:tcPr>
          <w:p w14:paraId="161840E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tcPr>
          <w:p w14:paraId="161840E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1F135A" w14:paraId="161840E8" w14:textId="77777777" w:rsidTr="001F135A">
        <w:tc>
          <w:tcPr>
            <w:tcW w:w="7763" w:type="dxa"/>
            <w:shd w:val="clear" w:color="auto" w:fill="auto"/>
            <w:vAlign w:val="center"/>
          </w:tcPr>
          <w:p w14:paraId="161840E4" w14:textId="77777777" w:rsidR="001F135A" w:rsidRDefault="001F135A" w:rsidP="00583379">
            <w:pPr>
              <w:pStyle w:val="Text1"/>
              <w:spacing w:before="40" w:after="40"/>
              <w:ind w:left="360"/>
              <w:rPr>
                <w:noProof/>
              </w:rPr>
            </w:pPr>
            <w:r>
              <w:t>het hierboven onder f) bedoelde geval (onregelmatigheid);</w:t>
            </w:r>
          </w:p>
        </w:tc>
        <w:tc>
          <w:tcPr>
            <w:tcW w:w="670" w:type="dxa"/>
            <w:shd w:val="clear" w:color="auto" w:fill="auto"/>
            <w:vAlign w:val="center"/>
          </w:tcPr>
          <w:p w14:paraId="161840E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shd w:val="clear" w:color="auto" w:fill="auto"/>
            <w:vAlign w:val="center"/>
          </w:tcPr>
          <w:p w14:paraId="161840E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tcPr>
          <w:p w14:paraId="161840E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bl>
    <w:p w14:paraId="161840E9" w14:textId="77777777" w:rsidR="00CA27B0" w:rsidRDefault="00CA27B0" w:rsidP="0024225B">
      <w:pPr>
        <w:pStyle w:val="Title"/>
        <w:rPr>
          <w:noProof/>
        </w:rPr>
      </w:pPr>
      <w:r>
        <w:t>III – Uitsluitingssituaties betreffende natuurlijke personen of rechtspersonen die onbeperkt aansprakelijk zijn voor de schulden van de rechtspersoon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665"/>
        <w:gridCol w:w="683"/>
        <w:gridCol w:w="703"/>
      </w:tblGrid>
      <w:tr w:rsidR="003E5E5C" w14:paraId="161840EE" w14:textId="77777777" w:rsidTr="00EE2C43">
        <w:tc>
          <w:tcPr>
            <w:tcW w:w="7747" w:type="dxa"/>
            <w:shd w:val="clear" w:color="auto" w:fill="auto"/>
          </w:tcPr>
          <w:p w14:paraId="161840EA" w14:textId="77777777" w:rsidR="003E5E5C" w:rsidRDefault="003E5E5C" w:rsidP="00BA61F8">
            <w:pPr>
              <w:numPr>
                <w:ilvl w:val="0"/>
                <w:numId w:val="17"/>
              </w:numPr>
              <w:spacing w:before="40" w:after="40"/>
              <w:jc w:val="both"/>
              <w:rPr>
                <w:noProof/>
              </w:rPr>
            </w:pPr>
            <w:r>
              <w:t xml:space="preserve"> verklaart dat een natuurlijke persoon of rechtspersoon die onbeperkt aansprakelijk is voor de schulden van de bovengenoemde rechtspersoon, zich in een van de onderstaande situaties bevindt: </w:t>
            </w:r>
          </w:p>
        </w:tc>
        <w:tc>
          <w:tcPr>
            <w:tcW w:w="670" w:type="dxa"/>
            <w:shd w:val="clear" w:color="auto" w:fill="auto"/>
          </w:tcPr>
          <w:p w14:paraId="161840EB" w14:textId="77777777" w:rsidR="003E5E5C" w:rsidRDefault="003E5E5C" w:rsidP="00583379">
            <w:pPr>
              <w:spacing w:before="240" w:after="120"/>
              <w:jc w:val="both"/>
              <w:rPr>
                <w:noProof/>
              </w:rPr>
            </w:pPr>
            <w:r>
              <w:t>JA</w:t>
            </w:r>
          </w:p>
        </w:tc>
        <w:tc>
          <w:tcPr>
            <w:tcW w:w="614" w:type="dxa"/>
          </w:tcPr>
          <w:p w14:paraId="161840EC" w14:textId="77777777" w:rsidR="003E5E5C" w:rsidRDefault="003E5E5C" w:rsidP="00583379">
            <w:pPr>
              <w:spacing w:before="240" w:after="120"/>
              <w:jc w:val="both"/>
              <w:rPr>
                <w:noProof/>
              </w:rPr>
            </w:pPr>
            <w:r>
              <w:t>NEE</w:t>
            </w:r>
          </w:p>
        </w:tc>
        <w:tc>
          <w:tcPr>
            <w:tcW w:w="630" w:type="dxa"/>
            <w:shd w:val="clear" w:color="auto" w:fill="auto"/>
          </w:tcPr>
          <w:p w14:paraId="161840ED" w14:textId="77777777" w:rsidR="003E5E5C" w:rsidRDefault="003E5E5C" w:rsidP="00583379">
            <w:pPr>
              <w:spacing w:before="240" w:after="120"/>
              <w:jc w:val="both"/>
              <w:rPr>
                <w:noProof/>
              </w:rPr>
            </w:pPr>
            <w:r>
              <w:t>n.v.t.</w:t>
            </w:r>
          </w:p>
        </w:tc>
      </w:tr>
      <w:tr w:rsidR="003E5E5C" w14:paraId="161840F3" w14:textId="77777777" w:rsidTr="004B29AF">
        <w:tc>
          <w:tcPr>
            <w:tcW w:w="7747" w:type="dxa"/>
            <w:shd w:val="clear" w:color="auto" w:fill="auto"/>
            <w:vAlign w:val="center"/>
          </w:tcPr>
          <w:p w14:paraId="161840EF" w14:textId="77777777" w:rsidR="003E5E5C" w:rsidRDefault="003E5E5C" w:rsidP="00583379">
            <w:pPr>
              <w:pStyle w:val="Text1"/>
              <w:spacing w:before="40" w:after="40"/>
              <w:ind w:left="360"/>
              <w:rPr>
                <w:noProof/>
              </w:rPr>
            </w:pPr>
            <w:r>
              <w:t>het hierboven onder a) bedoelde geval (faillissement);</w:t>
            </w:r>
          </w:p>
        </w:tc>
        <w:tc>
          <w:tcPr>
            <w:tcW w:w="670" w:type="dxa"/>
            <w:shd w:val="clear" w:color="auto" w:fill="auto"/>
            <w:vAlign w:val="center"/>
          </w:tcPr>
          <w:p w14:paraId="161840F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tcPr>
          <w:p w14:paraId="161840F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30" w:type="dxa"/>
            <w:shd w:val="clear" w:color="auto" w:fill="auto"/>
            <w:vAlign w:val="center"/>
          </w:tcPr>
          <w:p w14:paraId="161840F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3E5E5C" w14:paraId="161840F8" w14:textId="77777777" w:rsidTr="004B29AF">
        <w:tc>
          <w:tcPr>
            <w:tcW w:w="7747" w:type="dxa"/>
            <w:shd w:val="clear" w:color="auto" w:fill="auto"/>
            <w:vAlign w:val="center"/>
          </w:tcPr>
          <w:p w14:paraId="161840F4" w14:textId="77777777" w:rsidR="003E5E5C" w:rsidRDefault="003E5E5C" w:rsidP="004B29AF">
            <w:pPr>
              <w:pStyle w:val="Text1"/>
              <w:spacing w:before="40" w:after="40"/>
              <w:ind w:left="360"/>
              <w:rPr>
                <w:noProof/>
              </w:rPr>
            </w:pPr>
            <w:r>
              <w:t>het hierboven onder b) bedoelde geval (niet-betaling van belastingen of socialezekerheidsbijdragen);</w:t>
            </w:r>
          </w:p>
        </w:tc>
        <w:tc>
          <w:tcPr>
            <w:tcW w:w="670" w:type="dxa"/>
            <w:shd w:val="clear" w:color="auto" w:fill="auto"/>
            <w:vAlign w:val="center"/>
          </w:tcPr>
          <w:p w14:paraId="161840F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tcPr>
          <w:p w14:paraId="161840F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30" w:type="dxa"/>
            <w:shd w:val="clear" w:color="auto" w:fill="auto"/>
            <w:vAlign w:val="center"/>
          </w:tcPr>
          <w:p w14:paraId="161840F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bl>
    <w:p w14:paraId="161840F9" w14:textId="77777777" w:rsidR="00CA27B0" w:rsidRDefault="00CA27B0" w:rsidP="0024225B">
      <w:pPr>
        <w:pStyle w:val="Title"/>
        <w:rPr>
          <w:noProof/>
        </w:rPr>
      </w:pPr>
      <w:r>
        <w:t>IV – Gronden voor afwijzing in deze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5"/>
        <w:gridCol w:w="668"/>
        <w:gridCol w:w="683"/>
      </w:tblGrid>
      <w:tr w:rsidR="003E5E5C" w14:paraId="161840FD" w14:textId="77777777" w:rsidTr="004C1A2B">
        <w:tc>
          <w:tcPr>
            <w:tcW w:w="8472" w:type="dxa"/>
            <w:shd w:val="clear" w:color="auto" w:fill="auto"/>
          </w:tcPr>
          <w:p w14:paraId="161840FA" w14:textId="77777777" w:rsidR="003E5E5C" w:rsidRDefault="003E5E5C" w:rsidP="00FA1E79">
            <w:pPr>
              <w:numPr>
                <w:ilvl w:val="0"/>
                <w:numId w:val="17"/>
              </w:numPr>
              <w:spacing w:before="40" w:after="40"/>
              <w:jc w:val="both"/>
              <w:rPr>
                <w:noProof/>
              </w:rPr>
            </w:pPr>
            <w:r>
              <w:t xml:space="preserve"> verklaart dat de bovengenoemde persoon:</w:t>
            </w:r>
          </w:p>
        </w:tc>
        <w:tc>
          <w:tcPr>
            <w:tcW w:w="670" w:type="dxa"/>
            <w:shd w:val="clear" w:color="auto" w:fill="auto"/>
          </w:tcPr>
          <w:p w14:paraId="161840FB" w14:textId="77777777" w:rsidR="003E5E5C" w:rsidRDefault="003E5E5C" w:rsidP="00583379">
            <w:pPr>
              <w:spacing w:before="240" w:after="120"/>
              <w:jc w:val="both"/>
              <w:rPr>
                <w:noProof/>
              </w:rPr>
            </w:pPr>
            <w:r>
              <w:t>JA</w:t>
            </w:r>
          </w:p>
        </w:tc>
        <w:tc>
          <w:tcPr>
            <w:tcW w:w="614" w:type="dxa"/>
            <w:shd w:val="clear" w:color="auto" w:fill="auto"/>
          </w:tcPr>
          <w:p w14:paraId="161840FC" w14:textId="77777777" w:rsidR="003E5E5C" w:rsidRDefault="003E5E5C" w:rsidP="00583379">
            <w:pPr>
              <w:spacing w:before="240" w:after="120"/>
              <w:jc w:val="both"/>
              <w:rPr>
                <w:noProof/>
              </w:rPr>
            </w:pPr>
            <w:r>
              <w:t>NEE</w:t>
            </w:r>
          </w:p>
        </w:tc>
      </w:tr>
      <w:tr w:rsidR="003E5E5C" w14:paraId="16184101" w14:textId="77777777" w:rsidTr="007C6650">
        <w:tc>
          <w:tcPr>
            <w:tcW w:w="8472" w:type="dxa"/>
            <w:shd w:val="clear" w:color="auto" w:fill="auto"/>
          </w:tcPr>
          <w:p w14:paraId="161840FE" w14:textId="77777777" w:rsidR="003E5E5C" w:rsidRDefault="003E5E5C" w:rsidP="00C40246">
            <w:pPr>
              <w:pStyle w:val="Text1"/>
              <w:numPr>
                <w:ilvl w:val="0"/>
                <w:numId w:val="15"/>
              </w:numPr>
              <w:spacing w:before="40" w:after="40"/>
              <w:rPr>
                <w:noProof/>
              </w:rPr>
            </w:pPr>
            <w:r>
              <w:t xml:space="preserve">de mededinging heeft vervalst doordat hij voorheen was betrokken bij het opstellen van de aanbestedingsstukken voor deze aanbestedingsprocedure; </w:t>
            </w:r>
          </w:p>
        </w:tc>
        <w:tc>
          <w:tcPr>
            <w:tcW w:w="670" w:type="dxa"/>
            <w:shd w:val="clear" w:color="auto" w:fill="auto"/>
          </w:tcPr>
          <w:p w14:paraId="161840F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14" w:type="dxa"/>
            <w:shd w:val="clear" w:color="auto" w:fill="auto"/>
          </w:tcPr>
          <w:p w14:paraId="1618410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bl>
    <w:bookmarkEnd w:id="28"/>
    <w:p w14:paraId="16184102" w14:textId="77777777" w:rsidR="00F96EAB" w:rsidRPr="006C6DFD" w:rsidRDefault="00F816D2" w:rsidP="0024225B">
      <w:pPr>
        <w:pStyle w:val="Title"/>
        <w:rPr>
          <w:noProof/>
        </w:rPr>
      </w:pPr>
      <w:r>
        <w:t>V – Corrigerende maatregelen</w:t>
      </w:r>
    </w:p>
    <w:p w14:paraId="16184103" w14:textId="77777777" w:rsidR="005C6293" w:rsidRDefault="005C6293" w:rsidP="007C6650">
      <w:pPr>
        <w:spacing w:before="120" w:after="120"/>
        <w:jc w:val="both"/>
        <w:rPr>
          <w:color w:val="000000"/>
        </w:rPr>
      </w:pPr>
      <w:r>
        <w:t>Indien de persoon verklaart dat hij zich in een van de bovengenoemde uitsluitingssituaties bevindt, moet hij zijn betrouwbaarheid aantonen door aan te geven welke maatregelen hij heeft genomen om de uitsluitingssituatie te corrigeren.</w:t>
      </w:r>
      <w:r>
        <w:rPr>
          <w:color w:val="000000"/>
        </w:rPr>
        <w:t xml:space="preserve"> Het kan bijvoorbeeld gaan om technische, organisatorische en personeelsgerelateerde maatregelen om herhaling te voorkomen, de vergoeding van schade of de betaling van boeten. Relevante bewijsstukken betreffende de genomen corrigerende maatregelen moeten worden opgenomen in een bijlage bij deze verklaring. Dat geldt niet voor de in punt d) van deze verklaring bedoelde gevallen.</w:t>
      </w:r>
    </w:p>
    <w:p w14:paraId="16184104" w14:textId="77777777" w:rsidR="00F96EAB" w:rsidRPr="007D7A5F" w:rsidRDefault="00F816D2" w:rsidP="0024225B">
      <w:pPr>
        <w:pStyle w:val="Title"/>
        <w:rPr>
          <w:noProof/>
        </w:rPr>
      </w:pPr>
      <w:r>
        <w:t>VI – Overlegging van bewijsstukken op verzoek</w:t>
      </w:r>
    </w:p>
    <w:p w14:paraId="16184105" w14:textId="77777777" w:rsidR="00DA410F" w:rsidRPr="00F76ABA" w:rsidRDefault="00B84C49" w:rsidP="007C6650">
      <w:pPr>
        <w:spacing w:before="120" w:after="120"/>
        <w:ind w:firstLine="11"/>
        <w:jc w:val="both"/>
        <w:rPr>
          <w:noProof/>
        </w:rPr>
      </w:pPr>
      <w:r>
        <w:t>Op verzoek en binnen de door de aanbestedende dienst gestelde termijn moet de persoon informatie verstrekken over de personen die lid zijn van het bestuurs-, leidinggevend of toezichthoudend orgaan. De persoon moet ook de volgende bewijsstukken betreffende de persoon zelf of betreffende de natuurlijke personen of rechtspersonen die onbeperkt aansprakelijk zijn voor de schulden van de persoon, overleggen:</w:t>
      </w:r>
    </w:p>
    <w:p w14:paraId="16184106" w14:textId="77777777"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 xml:space="preserve">voor de in de punten a), c), d) of f) genoemde gevallen moet een recent uittreksel uit het strafregister worden overgelegd of, bij gebreke daarvan, een recent gelijkwaardig document van een gerechtelijke of administratieve autoriteit van het land van vestiging van de persoon waaruit blijkt dat aan de desbetreffende vereisten is voldaan; </w:t>
      </w:r>
    </w:p>
    <w:p w14:paraId="16184107"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voor de in de punten a) of b) genoemde gevallen zijn recente verklaringen van de bevoegde autoriteiten van het betrokken land vereist. Deze documenten moeten bewijzen bevatten ten aanzien van alle belastingen en socialezekerheidsbijdragen die de persoon verschuldigd is, waaronder bijvoorbeeld de btw, inkomstenbelastingen (alleen voor natuurlijke personen), vennootschapsbelasting (alleen voor rechtspersonen) en socialezekerheidsbijdragen. Wanneer de bovengenoemde documenten in het betrokken land niet worden afgegeven, mogen zij worden vervangen door een ten overstaan van een gerechtelijke autoriteit of een notaris onder ede afgelegde verklaring of, bij gebreke daarvan, een ten overstaan van een administratieve autoriteit of een gekwalificeerde beroepsorganisatie in het land van vestiging afgelegde plechtige verklaring.</w:t>
      </w:r>
    </w:p>
    <w:p w14:paraId="16184108" w14:textId="77777777" w:rsidR="008C4A00" w:rsidRDefault="00C55150" w:rsidP="0024225B">
      <w:pPr>
        <w:spacing w:before="100" w:beforeAutospacing="1" w:after="100" w:afterAutospacing="1"/>
        <w:jc w:val="both"/>
      </w:pPr>
      <w:r>
        <w:t xml:space="preserve">De persoon hoeft geen bewijsstukken in te dienen </w:t>
      </w:r>
      <w:r w:rsidR="008C072D">
        <w:t xml:space="preserve">die </w:t>
      </w:r>
      <w:r>
        <w:t>al eerder in het kader van een andere aanbested</w:t>
      </w:r>
      <w:r w:rsidR="00A04C4A">
        <w:t xml:space="preserve">ingsprocedure zijn </w:t>
      </w:r>
      <w:r>
        <w:t xml:space="preserve">ingediend. De stukken mogen niet langer dan een jaar vóór de datum </w:t>
      </w:r>
      <w:r w:rsidR="008C072D">
        <w:t xml:space="preserve">waarop de </w:t>
      </w:r>
      <w:r>
        <w:t xml:space="preserve">aanbestedende dienst </w:t>
      </w:r>
      <w:r w:rsidR="008C072D">
        <w:t>erom verzoekt</w:t>
      </w:r>
      <w:r w:rsidR="007857AE">
        <w:t>,</w:t>
      </w:r>
      <w:r w:rsidR="008C072D">
        <w:t xml:space="preserve"> </w:t>
      </w:r>
      <w:r>
        <w:t>zijn afgegeven</w:t>
      </w:r>
      <w:r w:rsidR="007857AE">
        <w:t>,</w:t>
      </w:r>
      <w:r>
        <w:t xml:space="preserve"> en moeten</w:t>
      </w:r>
      <w:r w:rsidR="008D3947">
        <w:t xml:space="preserve"> op die datum</w:t>
      </w:r>
      <w:r w:rsidR="007857AE">
        <w:t xml:space="preserve"> nog steeds geldig zijn.</w:t>
      </w:r>
    </w:p>
    <w:p w14:paraId="16184109" w14:textId="77777777" w:rsidR="008C4A00" w:rsidRDefault="00A40405" w:rsidP="0024225B">
      <w:pPr>
        <w:spacing w:before="100" w:beforeAutospacing="1" w:after="100" w:afterAutospacing="1"/>
        <w:jc w:val="both"/>
      </w:pPr>
      <w:r>
        <w:t xml:space="preserve">De ondertekenaar verklaart dat de persoon de bewijsstukken reeds heeft verstrekt in het kader van een vorige procedure en bevestigt dat </w:t>
      </w:r>
      <w:r w:rsidR="007857AE">
        <w:t>de situatie van de persoon sindsdien niet is gewijzigd.</w:t>
      </w:r>
    </w:p>
    <w:tbl>
      <w:tblPr>
        <w:tblStyle w:val="TableGrid"/>
        <w:tblW w:w="9464" w:type="dxa"/>
        <w:tblLook w:val="04A0" w:firstRow="1" w:lastRow="0" w:firstColumn="1" w:lastColumn="0" w:noHBand="0" w:noVBand="1"/>
      </w:tblPr>
      <w:tblGrid>
        <w:gridCol w:w="4786"/>
        <w:gridCol w:w="4678"/>
      </w:tblGrid>
      <w:tr w:rsidR="000C2EE8" w:rsidRPr="000C2EE8" w14:paraId="1618410C" w14:textId="77777777" w:rsidTr="0024225B">
        <w:tc>
          <w:tcPr>
            <w:tcW w:w="4786" w:type="dxa"/>
          </w:tcPr>
          <w:p w14:paraId="1618410A" w14:textId="77777777" w:rsidR="000C2EE8" w:rsidRPr="0024225B" w:rsidRDefault="000C2EE8" w:rsidP="007A4151">
            <w:pPr>
              <w:spacing w:before="100" w:beforeAutospacing="1" w:after="100" w:afterAutospacing="1"/>
              <w:jc w:val="center"/>
              <w:rPr>
                <w:b/>
                <w:sz w:val="22"/>
              </w:rPr>
            </w:pPr>
            <w:r>
              <w:rPr>
                <w:b/>
                <w:sz w:val="22"/>
              </w:rPr>
              <w:t>Stuk</w:t>
            </w:r>
          </w:p>
        </w:tc>
        <w:tc>
          <w:tcPr>
            <w:tcW w:w="4678" w:type="dxa"/>
          </w:tcPr>
          <w:p w14:paraId="1618410B" w14:textId="77777777" w:rsidR="000C2EE8" w:rsidRPr="0024225B" w:rsidRDefault="000C2EE8" w:rsidP="0024225B">
            <w:pPr>
              <w:spacing w:before="100" w:beforeAutospacing="1" w:after="100" w:afterAutospacing="1"/>
              <w:jc w:val="center"/>
              <w:rPr>
                <w:b/>
                <w:sz w:val="22"/>
              </w:rPr>
            </w:pPr>
            <w:r>
              <w:rPr>
                <w:b/>
                <w:sz w:val="22"/>
              </w:rPr>
              <w:t>Volledige referentie vorige procedure</w:t>
            </w:r>
          </w:p>
        </w:tc>
      </w:tr>
      <w:tr w:rsidR="00FF0711" w14:paraId="1618410F" w14:textId="77777777" w:rsidTr="005D6DE3">
        <w:tc>
          <w:tcPr>
            <w:tcW w:w="4786" w:type="dxa"/>
          </w:tcPr>
          <w:p w14:paraId="1618410D" w14:textId="77777777" w:rsidR="00FF0711" w:rsidRDefault="00FF0711" w:rsidP="0024225B">
            <w:pPr>
              <w:spacing w:before="100" w:beforeAutospacing="1" w:after="100" w:afterAutospacing="1"/>
            </w:pPr>
            <w:r>
              <w:rPr>
                <w:i/>
                <w:highlight w:val="lightGray"/>
              </w:rPr>
              <w:t>Voeg zoveel regels als nodig toe.</w:t>
            </w:r>
          </w:p>
        </w:tc>
        <w:tc>
          <w:tcPr>
            <w:tcW w:w="4678" w:type="dxa"/>
          </w:tcPr>
          <w:p w14:paraId="1618410E" w14:textId="77777777" w:rsidR="00FF0711" w:rsidRDefault="00FF0711" w:rsidP="0024225B">
            <w:pPr>
              <w:spacing w:before="100" w:beforeAutospacing="1" w:after="100" w:afterAutospacing="1"/>
            </w:pPr>
          </w:p>
        </w:tc>
      </w:tr>
    </w:tbl>
    <w:p w14:paraId="16184110" w14:textId="77777777" w:rsidR="00DC56F6" w:rsidRPr="00BC61E2" w:rsidRDefault="00F816D2" w:rsidP="0024225B">
      <w:pPr>
        <w:pStyle w:val="Title"/>
        <w:rPr>
          <w:i/>
        </w:rPr>
      </w:pPr>
      <w:r>
        <w:t>VII – Selectiecriteria</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1"/>
        <w:gridCol w:w="679"/>
        <w:gridCol w:w="683"/>
        <w:gridCol w:w="703"/>
      </w:tblGrid>
      <w:tr w:rsidR="00376A09" w14:paraId="16184115" w14:textId="77777777" w:rsidTr="00376A09">
        <w:tc>
          <w:tcPr>
            <w:tcW w:w="7344" w:type="dxa"/>
            <w:shd w:val="clear" w:color="auto" w:fill="auto"/>
          </w:tcPr>
          <w:p w14:paraId="16184111" w14:textId="77777777" w:rsidR="00376A09" w:rsidRPr="00C475D8" w:rsidRDefault="00F00DC7" w:rsidP="00C97E7C">
            <w:pPr>
              <w:numPr>
                <w:ilvl w:val="0"/>
                <w:numId w:val="17"/>
              </w:numPr>
              <w:spacing w:before="120" w:after="120"/>
              <w:jc w:val="both"/>
              <w:rPr>
                <w:noProof/>
              </w:rPr>
            </w:pPr>
            <w:r>
              <w:t xml:space="preserve"> </w:t>
            </w:r>
            <w:r w:rsidR="00376A09">
              <w:t xml:space="preserve">verklaart dat de bovengenoemde persoon voldoet aan de selectiecriteria </w:t>
            </w:r>
            <w:r w:rsidR="00C97E7C">
              <w:t xml:space="preserve">die conform </w:t>
            </w:r>
            <w:r w:rsidR="00376A09">
              <w:t>het bestek op hem afzonderlijk van toepassing zijn:</w:t>
            </w:r>
          </w:p>
        </w:tc>
        <w:tc>
          <w:tcPr>
            <w:tcW w:w="704" w:type="dxa"/>
            <w:shd w:val="clear" w:color="auto" w:fill="auto"/>
          </w:tcPr>
          <w:p w14:paraId="16184112" w14:textId="77777777" w:rsidR="00376A09" w:rsidRDefault="00376A09" w:rsidP="00D744A3">
            <w:pPr>
              <w:spacing w:before="240" w:after="120"/>
              <w:jc w:val="both"/>
              <w:rPr>
                <w:noProof/>
              </w:rPr>
            </w:pPr>
            <w:r>
              <w:t>JA</w:t>
            </w:r>
          </w:p>
        </w:tc>
        <w:tc>
          <w:tcPr>
            <w:tcW w:w="608" w:type="dxa"/>
            <w:shd w:val="clear" w:color="auto" w:fill="auto"/>
          </w:tcPr>
          <w:p w14:paraId="16184113" w14:textId="77777777" w:rsidR="00376A09" w:rsidRDefault="00376A09" w:rsidP="00D744A3">
            <w:pPr>
              <w:spacing w:before="240" w:after="120"/>
              <w:jc w:val="both"/>
              <w:rPr>
                <w:noProof/>
              </w:rPr>
            </w:pPr>
            <w:r>
              <w:t>NEE</w:t>
            </w:r>
          </w:p>
        </w:tc>
        <w:tc>
          <w:tcPr>
            <w:tcW w:w="630" w:type="dxa"/>
            <w:shd w:val="clear" w:color="auto" w:fill="auto"/>
          </w:tcPr>
          <w:p w14:paraId="16184114" w14:textId="77777777" w:rsidR="00376A09" w:rsidRDefault="00376A09" w:rsidP="00D744A3">
            <w:pPr>
              <w:spacing w:before="240" w:after="120"/>
              <w:jc w:val="both"/>
              <w:rPr>
                <w:noProof/>
              </w:rPr>
            </w:pPr>
            <w:r>
              <w:t>n.v.t.</w:t>
            </w:r>
          </w:p>
        </w:tc>
      </w:tr>
      <w:tr w:rsidR="00376A09" w14:paraId="1618411A" w14:textId="77777777" w:rsidTr="0024225B">
        <w:tc>
          <w:tcPr>
            <w:tcW w:w="7344" w:type="dxa"/>
            <w:shd w:val="clear" w:color="auto" w:fill="auto"/>
          </w:tcPr>
          <w:p w14:paraId="602D43DB" w14:textId="43910326" w:rsidR="00376A09" w:rsidRDefault="00376A09" w:rsidP="00AA652F">
            <w:pPr>
              <w:pStyle w:val="Text1"/>
              <w:numPr>
                <w:ilvl w:val="0"/>
                <w:numId w:val="24"/>
              </w:numPr>
              <w:spacing w:before="40" w:after="40"/>
              <w:rPr>
                <w:noProof/>
              </w:rPr>
            </w:pPr>
            <w:r>
              <w:t xml:space="preserve">de persoon heeft de </w:t>
            </w:r>
            <w:r w:rsidRPr="00AA652F">
              <w:rPr>
                <w:b/>
                <w:u w:val="single"/>
              </w:rPr>
              <w:t>wettelijke en juridische</w:t>
            </w:r>
            <w:r>
              <w:t xml:space="preserve"> bevoegdheid om de beroepsactiviteit uit te oefenen die nodig is om de opdracht uit te voeren conform het bepaalde in </w:t>
            </w:r>
            <w:r w:rsidR="00AA652F">
              <w:t xml:space="preserve">punt III.3.1 </w:t>
            </w:r>
            <w:r>
              <w:t>van het bestek</w:t>
            </w:r>
            <w:r w:rsidR="00AA652F">
              <w:t>:</w:t>
            </w:r>
          </w:p>
          <w:p w14:paraId="16184116" w14:textId="353E5E1A" w:rsidR="00AA652F" w:rsidRPr="005D5C66" w:rsidRDefault="00AA652F" w:rsidP="005D5C66">
            <w:pPr>
              <w:pStyle w:val="Text1"/>
              <w:spacing w:before="40" w:after="40"/>
              <w:ind w:left="360"/>
              <w:rPr>
                <w:noProof/>
              </w:rPr>
            </w:pPr>
            <w:r w:rsidRPr="005D5C66">
              <w:rPr>
                <w:rFonts w:cs="Arial"/>
                <w:bCs/>
                <w:i/>
                <w:color w:val="000000"/>
                <w:spacing w:val="-2"/>
              </w:rPr>
              <w:t>"</w:t>
            </w:r>
            <w:r w:rsidR="005D5C66" w:rsidRPr="005D5C66">
              <w:rPr>
                <w:rFonts w:cs="Arial"/>
                <w:bCs/>
                <w:i/>
                <w:color w:val="000000"/>
                <w:spacing w:val="-2"/>
              </w:rPr>
              <w:t>De gegadigde moet aantonen dat hij voorafgaande goedkeuring heeft gekregen van de bevoegde toezichthoudende autoriteiten voor de uitvoering van verzekeringsactiviteiten, conform artikel 14 van Richtlijn 2009/138/EG van 25 november 2009 betreffende de toegang tot en uitoefening van het verzekerings- en het herverzekeringsbedrijf (</w:t>
            </w:r>
            <w:proofErr w:type="gramStart"/>
            <w:r w:rsidR="005D5C66" w:rsidRPr="005D5C66">
              <w:rPr>
                <w:rFonts w:cs="Arial"/>
                <w:bCs/>
                <w:i/>
                <w:color w:val="000000"/>
                <w:spacing w:val="-2"/>
              </w:rPr>
              <w:t>solvabiliteit</w:t>
            </w:r>
            <w:proofErr w:type="gramEnd"/>
            <w:r w:rsidR="005D5C66" w:rsidRPr="005D5C66">
              <w:rPr>
                <w:rFonts w:cs="Arial"/>
                <w:bCs/>
                <w:i/>
                <w:color w:val="000000"/>
                <w:spacing w:val="-2"/>
              </w:rPr>
              <w:t xml:space="preserve"> II)</w:t>
            </w:r>
            <w:r w:rsidRPr="005D5C66">
              <w:rPr>
                <w:rFonts w:cs="Arial"/>
                <w:bCs/>
                <w:i/>
                <w:color w:val="000000"/>
                <w:spacing w:val="-2"/>
              </w:rPr>
              <w:t>"</w:t>
            </w:r>
          </w:p>
        </w:tc>
        <w:tc>
          <w:tcPr>
            <w:tcW w:w="704" w:type="dxa"/>
            <w:shd w:val="clear" w:color="auto" w:fill="auto"/>
          </w:tcPr>
          <w:p w14:paraId="1618411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08" w:type="dxa"/>
            <w:shd w:val="clear" w:color="auto" w:fill="auto"/>
          </w:tcPr>
          <w:p w14:paraId="1618411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30" w:type="dxa"/>
          </w:tcPr>
          <w:p w14:paraId="1618411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376A09" w14:paraId="1618411F" w14:textId="77777777" w:rsidTr="0024225B">
        <w:tc>
          <w:tcPr>
            <w:tcW w:w="7344" w:type="dxa"/>
            <w:shd w:val="clear" w:color="auto" w:fill="auto"/>
          </w:tcPr>
          <w:p w14:paraId="68B6F49C" w14:textId="4DD2FB82" w:rsidR="00376A09" w:rsidRDefault="00376A09" w:rsidP="00AA652F">
            <w:pPr>
              <w:pStyle w:val="Text1"/>
              <w:numPr>
                <w:ilvl w:val="0"/>
                <w:numId w:val="24"/>
              </w:numPr>
              <w:spacing w:before="40" w:after="40"/>
              <w:rPr>
                <w:noProof/>
              </w:rPr>
            </w:pPr>
            <w:r>
              <w:t xml:space="preserve">de persoon voldoet aan de toepasselijke </w:t>
            </w:r>
            <w:r w:rsidRPr="00AA652F">
              <w:rPr>
                <w:b/>
                <w:u w:val="single"/>
              </w:rPr>
              <w:t>economische en financiële</w:t>
            </w:r>
            <w:r>
              <w:t xml:space="preserve"> criteria zoals vermeld in </w:t>
            </w:r>
            <w:r w:rsidR="00AA652F">
              <w:t xml:space="preserve">punt III.3.2 </w:t>
            </w:r>
            <w:r>
              <w:t>van het bestek</w:t>
            </w:r>
            <w:r w:rsidR="00AA652F">
              <w:t>:</w:t>
            </w:r>
          </w:p>
          <w:p w14:paraId="32078737" w14:textId="6135CD12" w:rsidR="00AA652F" w:rsidRPr="005D5C66" w:rsidRDefault="005D5C66" w:rsidP="00AA652F">
            <w:pPr>
              <w:pStyle w:val="Text1"/>
              <w:ind w:left="0" w:right="180"/>
              <w:rPr>
                <w:rFonts w:cs="Arial"/>
                <w:i/>
                <w:color w:val="000000"/>
                <w:spacing w:val="-2"/>
                <w:u w:val="single"/>
              </w:rPr>
            </w:pPr>
            <w:r w:rsidRPr="005D5C66">
              <w:rPr>
                <w:rFonts w:cs="Arial"/>
                <w:i/>
                <w:color w:val="000000"/>
                <w:spacing w:val="-2"/>
                <w:highlight w:val="lightGray"/>
                <w:u w:val="single"/>
              </w:rPr>
              <w:t>Criterium 1: Omzet</w:t>
            </w:r>
          </w:p>
          <w:p w14:paraId="65DB0C6A" w14:textId="00308BE5" w:rsidR="00AA652F" w:rsidRPr="005D5C66" w:rsidRDefault="00AA652F" w:rsidP="00AA652F">
            <w:pPr>
              <w:pStyle w:val="Text1"/>
              <w:ind w:left="0"/>
              <w:rPr>
                <w:rFonts w:cs="Arial"/>
                <w:i/>
                <w:color w:val="000000"/>
                <w:spacing w:val="-2"/>
              </w:rPr>
            </w:pPr>
            <w:r w:rsidRPr="005D5C66">
              <w:rPr>
                <w:rFonts w:cs="Arial"/>
                <w:i/>
                <w:color w:val="000000"/>
                <w:spacing w:val="-2"/>
              </w:rPr>
              <w:t>"</w:t>
            </w:r>
            <w:r w:rsidR="005D5C66" w:rsidRPr="005D5C66">
              <w:rPr>
                <w:rFonts w:cs="Arial"/>
                <w:i/>
                <w:color w:val="000000"/>
                <w:spacing w:val="-2"/>
              </w:rPr>
              <w:t>De gegadigde moet aantonen dat hij de laatste drie boekjaren op verzekeringsgebied een gemiddelde jaaromzet van meer dan 50 miljoen EUR heeft gerealiseerd; in het geval van een gezamenlijke inschrijving geldt dit criterium voor alle leden van de combinatie (gecombinee</w:t>
            </w:r>
            <w:r w:rsidR="005D5C66">
              <w:rPr>
                <w:rFonts w:cs="Arial"/>
                <w:i/>
                <w:color w:val="000000"/>
                <w:spacing w:val="-2"/>
              </w:rPr>
              <w:t>rde draagkracht van alle leden)</w:t>
            </w:r>
            <w:r w:rsidRPr="005D5C66">
              <w:rPr>
                <w:rFonts w:cs="Arial"/>
                <w:i/>
                <w:color w:val="000000"/>
                <w:spacing w:val="-2"/>
              </w:rPr>
              <w:t>."</w:t>
            </w:r>
          </w:p>
          <w:p w14:paraId="1F782AA2" w14:textId="144A231C" w:rsidR="00AA652F" w:rsidRPr="005D5C66" w:rsidRDefault="005D5C66" w:rsidP="00AA652F">
            <w:pPr>
              <w:pStyle w:val="Text1"/>
              <w:spacing w:before="240"/>
              <w:ind w:left="0" w:right="180"/>
              <w:rPr>
                <w:rFonts w:cs="Arial"/>
                <w:i/>
                <w:color w:val="000000"/>
                <w:spacing w:val="-2"/>
              </w:rPr>
            </w:pPr>
            <w:r w:rsidRPr="005D5C66">
              <w:rPr>
                <w:rFonts w:cs="Arial"/>
                <w:i/>
                <w:color w:val="000000"/>
                <w:spacing w:val="-2"/>
                <w:highlight w:val="lightGray"/>
                <w:u w:val="single"/>
              </w:rPr>
              <w:t>Criterium 2: conformiteit met de solvabiliteitsnormen</w:t>
            </w:r>
          </w:p>
          <w:p w14:paraId="1618411B" w14:textId="39589DA7" w:rsidR="00AA652F" w:rsidRPr="005D5C66" w:rsidRDefault="00AA652F" w:rsidP="005D5C66">
            <w:pPr>
              <w:pStyle w:val="Text1"/>
              <w:spacing w:after="40"/>
              <w:ind w:left="0"/>
              <w:rPr>
                <w:noProof/>
              </w:rPr>
            </w:pPr>
            <w:r w:rsidRPr="005D5C66">
              <w:rPr>
                <w:i/>
                <w:color w:val="000000"/>
              </w:rPr>
              <w:t>"</w:t>
            </w:r>
            <w:r w:rsidR="005D5C66" w:rsidRPr="005D5C66">
              <w:rPr>
                <w:i/>
                <w:color w:val="000000"/>
              </w:rPr>
              <w:t xml:space="preserve">De gegadigde moet voldoen aan de solvabiliteitsnormen die van kracht zijn in de lidstaat waarin hij zijn hoofdvestiging heeft en hij mag momenteel </w:t>
            </w:r>
            <w:proofErr w:type="gramStart"/>
            <w:r w:rsidR="005D5C66" w:rsidRPr="005D5C66">
              <w:rPr>
                <w:i/>
                <w:color w:val="000000"/>
              </w:rPr>
              <w:t>geenszins</w:t>
            </w:r>
            <w:proofErr w:type="gramEnd"/>
            <w:r w:rsidR="005D5C66" w:rsidRPr="005D5C66">
              <w:rPr>
                <w:i/>
                <w:color w:val="000000"/>
              </w:rPr>
              <w:t xml:space="preserve"> het voorwerp zijn van een administratieve procedure ingesteld door de bevoegde toezichthoudende autoriteiten van die lidstaat, bijvoorbeeld consolidatiemaatregelen of vereffeningsprocedures die tot doel hebben (een) fout(en) recht te zetten of te bestraffen die de solvabiliteit van deze onderneming in gevaar zou(den) kunnen brengen of de nakoming van hun verplichtingen jegens de toekomstige verzekerden.</w:t>
            </w:r>
            <w:r w:rsidRPr="005D5C66">
              <w:rPr>
                <w:i/>
                <w:color w:val="000000"/>
              </w:rPr>
              <w:t>"</w:t>
            </w:r>
          </w:p>
        </w:tc>
        <w:tc>
          <w:tcPr>
            <w:tcW w:w="704" w:type="dxa"/>
            <w:shd w:val="clear" w:color="auto" w:fill="auto"/>
          </w:tcPr>
          <w:p w14:paraId="1618411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08" w:type="dxa"/>
            <w:shd w:val="clear" w:color="auto" w:fill="auto"/>
          </w:tcPr>
          <w:p w14:paraId="1618411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30" w:type="dxa"/>
          </w:tcPr>
          <w:p w14:paraId="1618411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r w:rsidR="00376A09" w14:paraId="16184124" w14:textId="77777777" w:rsidTr="0024225B">
        <w:tc>
          <w:tcPr>
            <w:tcW w:w="7344" w:type="dxa"/>
            <w:shd w:val="clear" w:color="auto" w:fill="auto"/>
          </w:tcPr>
          <w:p w14:paraId="0CFF68BB" w14:textId="3D617C77" w:rsidR="00376A09" w:rsidRDefault="00376A09" w:rsidP="00AA652F">
            <w:pPr>
              <w:pStyle w:val="Text1"/>
              <w:numPr>
                <w:ilvl w:val="0"/>
                <w:numId w:val="24"/>
              </w:numPr>
              <w:spacing w:before="40" w:after="40"/>
              <w:rPr>
                <w:noProof/>
              </w:rPr>
            </w:pPr>
            <w:r>
              <w:t xml:space="preserve">de persoon voldoet aan de toepasselijke </w:t>
            </w:r>
            <w:r w:rsidRPr="00AA652F">
              <w:rPr>
                <w:b/>
                <w:u w:val="single"/>
              </w:rPr>
              <w:t xml:space="preserve">technische en beroepscriteria </w:t>
            </w:r>
            <w:r>
              <w:t xml:space="preserve">zoals vermeld in </w:t>
            </w:r>
            <w:r w:rsidR="00AA652F" w:rsidRPr="00AA652F">
              <w:t xml:space="preserve">punt III.3.2 </w:t>
            </w:r>
            <w:r>
              <w:t>van het bestek</w:t>
            </w:r>
            <w:r w:rsidR="00AA652F">
              <w:t>:</w:t>
            </w:r>
          </w:p>
          <w:p w14:paraId="0DE3DD52" w14:textId="77777777" w:rsidR="005D5C66" w:rsidRDefault="005D5C66" w:rsidP="005D5C66">
            <w:pPr>
              <w:jc w:val="both"/>
              <w:rPr>
                <w:i/>
                <w:szCs w:val="20"/>
                <w:u w:val="single"/>
              </w:rPr>
            </w:pPr>
            <w:r>
              <w:rPr>
                <w:i/>
                <w:highlight w:val="lightGray"/>
                <w:u w:val="single"/>
              </w:rPr>
              <w:t>Criterium 1: Ervaring van de gegadigde op het gebied van de opdracht</w:t>
            </w:r>
          </w:p>
          <w:p w14:paraId="301D6088" w14:textId="24422EA7" w:rsidR="00AA652F" w:rsidRPr="005D5C66" w:rsidRDefault="00AA652F" w:rsidP="00AA652F">
            <w:pPr>
              <w:spacing w:before="240"/>
              <w:jc w:val="both"/>
              <w:rPr>
                <w:i/>
                <w:color w:val="000000"/>
                <w:szCs w:val="20"/>
              </w:rPr>
            </w:pPr>
            <w:r w:rsidRPr="005D5C66">
              <w:rPr>
                <w:i/>
                <w:szCs w:val="20"/>
              </w:rPr>
              <w:t>"</w:t>
            </w:r>
            <w:r w:rsidR="005D5C66" w:rsidRPr="005D5C66">
              <w:rPr>
                <w:i/>
                <w:szCs w:val="20"/>
              </w:rPr>
              <w:t>De gegadigde moet aantonen dat hij beschikt over de bekwaamheid om de beroepsactiviteit van verzekeraar uit te oefenen en dat hij in de loop van de laatste vijf jaar al drie contracten heeft uitgevoerd die vergelijkbaar zijn met het voorwerp van deze aanbesteding. Onder vergelijkbaar contract wordt elk contract verstaan dat minstens één van de drie verzekeringsdelen dekt: het deel 'beroepsziekten', het deel 'ongevallen' en/of het deel 'overlijden'. De gegadigde moet minstens één contract per deel kunnen verstrekken.</w:t>
            </w:r>
            <w:r w:rsidRPr="005D5C66">
              <w:rPr>
                <w:i/>
                <w:color w:val="000000"/>
                <w:szCs w:val="20"/>
              </w:rPr>
              <w:t>"</w:t>
            </w:r>
          </w:p>
          <w:p w14:paraId="648AD547" w14:textId="77777777" w:rsidR="005D5C66" w:rsidRPr="005D5C66" w:rsidRDefault="005D5C66" w:rsidP="005D5C66">
            <w:pPr>
              <w:spacing w:before="120" w:after="120"/>
              <w:jc w:val="both"/>
              <w:rPr>
                <w:i/>
                <w:szCs w:val="20"/>
                <w:lang w:val="fr-BE"/>
              </w:rPr>
            </w:pPr>
            <w:r w:rsidRPr="005D5C66">
              <w:rPr>
                <w:i/>
                <w:highlight w:val="lightGray"/>
                <w:u w:val="single"/>
                <w:lang w:val="fr-BE"/>
              </w:rPr>
              <w:t>Criterium 2: Rating</w:t>
            </w:r>
            <w:r w:rsidRPr="005D5C66">
              <w:rPr>
                <w:i/>
                <w:u w:val="single"/>
                <w:lang w:val="fr-BE"/>
              </w:rPr>
              <w:t xml:space="preserve"> </w:t>
            </w:r>
          </w:p>
          <w:p w14:paraId="7C28AE10" w14:textId="5D4E2A56" w:rsidR="00AA652F" w:rsidRDefault="00AA652F" w:rsidP="00AA652F">
            <w:pPr>
              <w:jc w:val="both"/>
              <w:rPr>
                <w:i/>
                <w:color w:val="000000"/>
                <w:szCs w:val="20"/>
              </w:rPr>
            </w:pPr>
            <w:r w:rsidRPr="005D5C66">
              <w:rPr>
                <w:i/>
                <w:szCs w:val="20"/>
              </w:rPr>
              <w:t>"</w:t>
            </w:r>
            <w:r w:rsidR="005D5C66" w:rsidRPr="005D5C66">
              <w:rPr>
                <w:i/>
              </w:rPr>
              <w:t xml:space="preserve">De gegadigde moet een rating hebben die hoger is dan of gelijk is aan categorie 'A', conform de praktijk van verzekeraars </w:t>
            </w:r>
            <w:proofErr w:type="gramStart"/>
            <w:r w:rsidR="005D5C66" w:rsidRPr="005D5C66">
              <w:rPr>
                <w:i/>
              </w:rPr>
              <w:t>jegens</w:t>
            </w:r>
            <w:proofErr w:type="gramEnd"/>
            <w:r w:rsidR="005D5C66" w:rsidRPr="005D5C66">
              <w:rPr>
                <w:i/>
              </w:rPr>
              <w:t xml:space="preserve"> herverzekeraars, geldig op het moment van indiening van het verzoek tot deelname.</w:t>
            </w:r>
            <w:r w:rsidRPr="005D5C66">
              <w:rPr>
                <w:i/>
                <w:color w:val="000000"/>
                <w:szCs w:val="20"/>
              </w:rPr>
              <w:t>"</w:t>
            </w:r>
          </w:p>
          <w:p w14:paraId="11C2B2A0" w14:textId="77777777" w:rsidR="005D5C66" w:rsidRPr="005D5C66" w:rsidRDefault="005D5C66" w:rsidP="00AA652F">
            <w:pPr>
              <w:jc w:val="both"/>
              <w:rPr>
                <w:i/>
                <w:color w:val="000000"/>
                <w:szCs w:val="20"/>
              </w:rPr>
            </w:pPr>
          </w:p>
          <w:p w14:paraId="3F970C25" w14:textId="77777777" w:rsidR="005D5C66" w:rsidRPr="005D5C66" w:rsidRDefault="005D5C66" w:rsidP="00AA652F">
            <w:pPr>
              <w:spacing w:after="120"/>
              <w:jc w:val="both"/>
              <w:rPr>
                <w:i/>
              </w:rPr>
            </w:pPr>
            <w:r w:rsidRPr="005D5C66">
              <w:rPr>
                <w:i/>
                <w:highlight w:val="lightGray"/>
                <w:u w:val="single"/>
              </w:rPr>
              <w:t>Criterium 3</w:t>
            </w:r>
            <w:r w:rsidRPr="005D5C66">
              <w:rPr>
                <w:i/>
                <w:highlight w:val="lightGray"/>
              </w:rPr>
              <w:t>: Team van medische deskundigen voorgesteld door de gegadigde</w:t>
            </w:r>
          </w:p>
          <w:p w14:paraId="0AE85954" w14:textId="77777777" w:rsidR="005D5C66" w:rsidRPr="005D5C66" w:rsidRDefault="00AA652F" w:rsidP="005D5C66">
            <w:pPr>
              <w:spacing w:after="120"/>
              <w:jc w:val="both"/>
              <w:rPr>
                <w:i/>
                <w:color w:val="000000"/>
                <w:szCs w:val="20"/>
              </w:rPr>
            </w:pPr>
            <w:r w:rsidRPr="005D5C66">
              <w:rPr>
                <w:i/>
                <w:szCs w:val="20"/>
              </w:rPr>
              <w:t>"</w:t>
            </w:r>
            <w:r w:rsidR="005D5C66" w:rsidRPr="005D5C66">
              <w:rPr>
                <w:i/>
              </w:rPr>
              <w:t>De gegadigde moet beschikken over een team van 30 medische deskundigen, bestaande uit 25 artsen en 5 tandartsen.</w:t>
            </w:r>
            <w:r w:rsidR="005D5C66" w:rsidRPr="005D5C66">
              <w:rPr>
                <w:i/>
                <w:color w:val="000000"/>
              </w:rPr>
              <w:t xml:space="preserve"> Elk lid van het team moet:</w:t>
            </w:r>
          </w:p>
          <w:p w14:paraId="0EB79973" w14:textId="77777777" w:rsidR="005D5C66" w:rsidRPr="005D5C66" w:rsidRDefault="005D5C66" w:rsidP="005D5C66">
            <w:pPr>
              <w:pStyle w:val="ListParagraph"/>
              <w:numPr>
                <w:ilvl w:val="0"/>
                <w:numId w:val="27"/>
              </w:numPr>
              <w:suppressAutoHyphens w:val="0"/>
              <w:spacing w:after="120" w:line="276" w:lineRule="auto"/>
              <w:ind w:left="781"/>
              <w:rPr>
                <w:i/>
                <w:color w:val="000000"/>
                <w:lang w:val="nl-NL"/>
              </w:rPr>
            </w:pPr>
            <w:r w:rsidRPr="005D5C66">
              <w:rPr>
                <w:i/>
                <w:color w:val="000000"/>
                <w:lang w:val="nl-NL"/>
              </w:rPr>
              <w:t>beschikken over minstens drie jaar expertise op het vlak van beoordeling en herstel van lichamelijk letsel. Als beroepservaring gelden de praktijkjaren na het behalen van de vereiste diploma's;</w:t>
            </w:r>
          </w:p>
          <w:p w14:paraId="34869184" w14:textId="77777777" w:rsidR="005D5C66" w:rsidRPr="005D5C66" w:rsidRDefault="005D5C66" w:rsidP="005D5C66">
            <w:pPr>
              <w:pStyle w:val="ListParagraph"/>
              <w:numPr>
                <w:ilvl w:val="0"/>
                <w:numId w:val="27"/>
              </w:numPr>
              <w:suppressAutoHyphens w:val="0"/>
              <w:spacing w:after="120" w:line="276" w:lineRule="auto"/>
              <w:ind w:left="781"/>
              <w:rPr>
                <w:i/>
                <w:color w:val="000000"/>
                <w:lang w:val="nl-NL"/>
              </w:rPr>
            </w:pPr>
            <w:r w:rsidRPr="005D5C66">
              <w:rPr>
                <w:i/>
                <w:color w:val="000000"/>
                <w:lang w:val="nl-NL"/>
              </w:rPr>
              <w:t xml:space="preserve">onafhankelijk zijn van de gegadigde en zich ertoe verbinden om tijdens de uitvoering van het dienstencontract niet als controlearts of -tandarts te werken voor het </w:t>
            </w:r>
            <w:proofErr w:type="spellStart"/>
            <w:r w:rsidRPr="005D5C66">
              <w:rPr>
                <w:i/>
                <w:color w:val="000000"/>
                <w:lang w:val="nl-NL"/>
              </w:rPr>
              <w:t>GSZV</w:t>
            </w:r>
            <w:proofErr w:type="spellEnd"/>
            <w:r w:rsidRPr="005D5C66">
              <w:rPr>
                <w:i/>
                <w:color w:val="000000"/>
                <w:lang w:val="nl-NL"/>
              </w:rPr>
              <w:t xml:space="preserve"> en ook niet als arts voor de medische dienst van een van de I/O/A's; </w:t>
            </w:r>
          </w:p>
          <w:p w14:paraId="29894C65" w14:textId="77777777" w:rsidR="005D5C66" w:rsidRPr="005D5C66" w:rsidRDefault="005D5C66" w:rsidP="005D5C66">
            <w:pPr>
              <w:pStyle w:val="ListParagraph"/>
              <w:numPr>
                <w:ilvl w:val="0"/>
                <w:numId w:val="27"/>
              </w:numPr>
              <w:suppressAutoHyphens w:val="0"/>
              <w:spacing w:after="120" w:line="276" w:lineRule="auto"/>
              <w:ind w:left="781"/>
              <w:rPr>
                <w:i/>
                <w:color w:val="000000"/>
                <w:lang w:val="nl-NL"/>
              </w:rPr>
            </w:pPr>
            <w:r w:rsidRPr="005D5C66">
              <w:rPr>
                <w:i/>
                <w:color w:val="000000"/>
                <w:lang w:val="nl-NL"/>
              </w:rPr>
              <w:t xml:space="preserve">bereid zijn diensten te verlenen op locaties in Brussel, Luxemburg, </w:t>
            </w:r>
            <w:proofErr w:type="spellStart"/>
            <w:r w:rsidRPr="005D5C66">
              <w:rPr>
                <w:i/>
                <w:color w:val="000000"/>
                <w:lang w:val="nl-NL"/>
              </w:rPr>
              <w:t>Ispra</w:t>
            </w:r>
            <w:proofErr w:type="spellEnd"/>
            <w:r w:rsidRPr="005D5C66">
              <w:rPr>
                <w:i/>
                <w:color w:val="000000"/>
                <w:lang w:val="nl-NL"/>
              </w:rPr>
              <w:t xml:space="preserve"> en Firenze;</w:t>
            </w:r>
          </w:p>
          <w:p w14:paraId="1344978F" w14:textId="77777777" w:rsidR="005D5C66" w:rsidRPr="005D5C66" w:rsidRDefault="005D5C66" w:rsidP="005D5C66">
            <w:pPr>
              <w:pStyle w:val="ListParagraph"/>
              <w:numPr>
                <w:ilvl w:val="0"/>
                <w:numId w:val="27"/>
              </w:numPr>
              <w:suppressAutoHyphens w:val="0"/>
              <w:spacing w:after="120" w:line="276" w:lineRule="auto"/>
              <w:ind w:left="781"/>
              <w:rPr>
                <w:i/>
                <w:color w:val="000000"/>
                <w:lang w:val="nl-NL"/>
              </w:rPr>
            </w:pPr>
            <w:r w:rsidRPr="005D5C66">
              <w:rPr>
                <w:i/>
                <w:lang w:val="nl-NL"/>
              </w:rPr>
              <w:t>minstens kennisniveau C1 hebben van de Franse of Engelse taal</w:t>
            </w:r>
            <w:r w:rsidRPr="005D5C66">
              <w:rPr>
                <w:i/>
                <w:color w:val="000000"/>
                <w:lang w:val="nl-NL"/>
              </w:rPr>
              <w:t xml:space="preserve"> (</w:t>
            </w:r>
            <w:proofErr w:type="gramStart"/>
            <w:r w:rsidRPr="005D5C66">
              <w:rPr>
                <w:i/>
                <w:color w:val="000000"/>
                <w:lang w:val="nl-NL"/>
              </w:rPr>
              <w:t>met name</w:t>
            </w:r>
            <w:proofErr w:type="gramEnd"/>
            <w:r w:rsidRPr="005D5C66">
              <w:rPr>
                <w:i/>
                <w:color w:val="000000"/>
                <w:lang w:val="nl-NL"/>
              </w:rPr>
              <w:t xml:space="preserve"> om de medische verslagen te kunnen opstellen in het Frans of het Engels), zoals bepaald in het Gemeenschappelijk Europees Referentiekader voor Talen (GERT) van de Raad van Europa (</w:t>
            </w:r>
            <w:hyperlink r:id="rId13" w:history="1">
              <w:r w:rsidRPr="005D5C66">
                <w:rPr>
                  <w:rStyle w:val="Hyperlink"/>
                  <w:i/>
                  <w:lang w:val="nl-NL"/>
                </w:rPr>
                <w:t>http://europass.cedefop.europa.eu/fr/resources/european-language-levels-cefr</w:t>
              </w:r>
            </w:hyperlink>
            <w:r w:rsidRPr="005D5C66">
              <w:rPr>
                <w:i/>
                <w:color w:val="000000"/>
                <w:lang w:val="nl-NL"/>
              </w:rPr>
              <w:t>).</w:t>
            </w:r>
          </w:p>
          <w:p w14:paraId="16184120" w14:textId="77315713" w:rsidR="00AA652F" w:rsidRPr="005D5C66" w:rsidRDefault="005D5C66" w:rsidP="005D5C66">
            <w:pPr>
              <w:pStyle w:val="ListParagraph"/>
              <w:numPr>
                <w:ilvl w:val="0"/>
                <w:numId w:val="27"/>
              </w:numPr>
              <w:suppressAutoHyphens w:val="0"/>
              <w:spacing w:after="120" w:line="276" w:lineRule="auto"/>
              <w:ind w:left="781"/>
              <w:rPr>
                <w:noProof/>
                <w:lang w:val="nl-NL"/>
              </w:rPr>
            </w:pPr>
            <w:r w:rsidRPr="005D5C66">
              <w:rPr>
                <w:i/>
                <w:color w:val="000000"/>
                <w:lang w:val="nl-NL"/>
              </w:rPr>
              <w:t>Binnen het team in zijn geheel moeten er medische deskundigen zijn die kennis hebben van Duits en/of Italiaans en/of Nederlands, met een minimumniveau B2, zoals bepaald in het Gemeenschappelijk Europees Referentiekader voor Talen (GERT) van de Raad van Europa (</w:t>
            </w:r>
            <w:hyperlink r:id="rId14" w:history="1">
              <w:r w:rsidRPr="005D5C66">
                <w:rPr>
                  <w:rStyle w:val="Hyperlink"/>
                  <w:i/>
                  <w:lang w:val="nl-NL"/>
                </w:rPr>
                <w:t>http://europass.cedefop.europa.eu/fr/resources/european-language-levels-cefr</w:t>
              </w:r>
            </w:hyperlink>
            <w:r w:rsidRPr="005D5C66">
              <w:rPr>
                <w:i/>
                <w:color w:val="000000"/>
                <w:lang w:val="nl-NL"/>
              </w:rPr>
              <w:t>). De drie talen moeten vertegenwoordigd zijn in het voorgestelde team van medische deskundigen.</w:t>
            </w:r>
            <w:r w:rsidR="00AA652F" w:rsidRPr="005D5C66">
              <w:rPr>
                <w:i/>
                <w:color w:val="000000"/>
                <w:lang w:val="nl-NL"/>
              </w:rPr>
              <w:t>"</w:t>
            </w:r>
          </w:p>
        </w:tc>
        <w:tc>
          <w:tcPr>
            <w:tcW w:w="704" w:type="dxa"/>
            <w:shd w:val="clear" w:color="auto" w:fill="auto"/>
          </w:tcPr>
          <w:p w14:paraId="1618412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08" w:type="dxa"/>
            <w:shd w:val="clear" w:color="auto" w:fill="auto"/>
          </w:tcPr>
          <w:p w14:paraId="1618412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30" w:type="dxa"/>
          </w:tcPr>
          <w:p w14:paraId="1618412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bl>
    <w:p w14:paraId="16184125" w14:textId="77777777"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698"/>
        <w:gridCol w:w="683"/>
        <w:gridCol w:w="7"/>
        <w:gridCol w:w="696"/>
      </w:tblGrid>
      <w:tr w:rsidR="00376A09" w14:paraId="1618412C" w14:textId="77777777" w:rsidTr="00AA652F">
        <w:tc>
          <w:tcPr>
            <w:tcW w:w="7202" w:type="dxa"/>
            <w:shd w:val="clear" w:color="auto" w:fill="auto"/>
          </w:tcPr>
          <w:p w14:paraId="16184128" w14:textId="6F1565F9" w:rsidR="00376A09" w:rsidRDefault="00376A09" w:rsidP="00EC08C2">
            <w:pPr>
              <w:numPr>
                <w:ilvl w:val="0"/>
                <w:numId w:val="17"/>
              </w:numPr>
              <w:spacing w:before="120" w:after="120"/>
              <w:jc w:val="both"/>
              <w:rPr>
                <w:noProof/>
              </w:rPr>
            </w:pPr>
            <w:r>
              <w:t xml:space="preserve">indien de bovengenoemde persoon de </w:t>
            </w:r>
            <w:r>
              <w:rPr>
                <w:b/>
              </w:rPr>
              <w:t>enige inschrijver</w:t>
            </w:r>
            <w:r>
              <w:t xml:space="preserve"> of</w:t>
            </w:r>
            <w:r w:rsidR="00EC08C2">
              <w:t xml:space="preserve"> de </w:t>
            </w:r>
            <w:r w:rsidR="00EC08C2" w:rsidRPr="00EC08C2">
              <w:rPr>
                <w:b/>
              </w:rPr>
              <w:t xml:space="preserve">leider bij een </w:t>
            </w:r>
            <w:r w:rsidRPr="00EC08C2">
              <w:rPr>
                <w:b/>
              </w:rPr>
              <w:t>gezamenlijke inschrijving</w:t>
            </w:r>
            <w:r>
              <w:t xml:space="preserve"> is, verklaart dat:</w:t>
            </w:r>
          </w:p>
        </w:tc>
        <w:tc>
          <w:tcPr>
            <w:tcW w:w="698" w:type="dxa"/>
            <w:shd w:val="clear" w:color="auto" w:fill="auto"/>
          </w:tcPr>
          <w:p w14:paraId="16184129" w14:textId="77777777" w:rsidR="00376A09" w:rsidRDefault="00376A09" w:rsidP="00A91324">
            <w:pPr>
              <w:spacing w:before="240" w:after="120"/>
              <w:jc w:val="both"/>
              <w:rPr>
                <w:noProof/>
              </w:rPr>
            </w:pPr>
            <w:r>
              <w:t>JA</w:t>
            </w:r>
          </w:p>
        </w:tc>
        <w:tc>
          <w:tcPr>
            <w:tcW w:w="683" w:type="dxa"/>
            <w:shd w:val="clear" w:color="auto" w:fill="auto"/>
          </w:tcPr>
          <w:p w14:paraId="1618412A" w14:textId="77777777" w:rsidR="00376A09" w:rsidRDefault="00376A09" w:rsidP="0092045D">
            <w:pPr>
              <w:spacing w:before="240" w:after="120"/>
              <w:jc w:val="both"/>
              <w:rPr>
                <w:noProof/>
              </w:rPr>
            </w:pPr>
            <w:r>
              <w:t>NEE</w:t>
            </w:r>
          </w:p>
        </w:tc>
        <w:tc>
          <w:tcPr>
            <w:tcW w:w="703" w:type="dxa"/>
            <w:gridSpan w:val="2"/>
            <w:shd w:val="clear" w:color="auto" w:fill="auto"/>
          </w:tcPr>
          <w:p w14:paraId="1618412B" w14:textId="77777777" w:rsidR="00376A09" w:rsidRDefault="00376A09" w:rsidP="00011028">
            <w:pPr>
              <w:spacing w:before="240" w:after="120"/>
              <w:jc w:val="both"/>
              <w:rPr>
                <w:noProof/>
              </w:rPr>
            </w:pPr>
            <w:r>
              <w:t>n.v.t.</w:t>
            </w:r>
          </w:p>
        </w:tc>
      </w:tr>
      <w:tr w:rsidR="00376A09" w14:paraId="16184131" w14:textId="77777777" w:rsidTr="00AA652F">
        <w:tc>
          <w:tcPr>
            <w:tcW w:w="7202" w:type="dxa"/>
            <w:shd w:val="clear" w:color="auto" w:fill="auto"/>
          </w:tcPr>
          <w:p w14:paraId="1618412D" w14:textId="77777777" w:rsidR="00376A09" w:rsidRDefault="00376A09" w:rsidP="00EC08C2">
            <w:pPr>
              <w:pStyle w:val="Text1"/>
              <w:numPr>
                <w:ilvl w:val="0"/>
                <w:numId w:val="24"/>
              </w:numPr>
              <w:spacing w:before="40" w:after="40"/>
              <w:rPr>
                <w:noProof/>
              </w:rPr>
            </w:pPr>
            <w:r>
              <w:t xml:space="preserve">de inschrijver, waaronder alle leden van de combinatie </w:t>
            </w:r>
            <w:r w:rsidR="00EC08C2">
              <w:t>bij e</w:t>
            </w:r>
            <w:r>
              <w:t xml:space="preserve">en gezamenlijke inschrijving </w:t>
            </w:r>
            <w:r w:rsidR="00D4739B">
              <w:t xml:space="preserve">alsook </w:t>
            </w:r>
            <w:r>
              <w:t>eventuele subcontractanten, voldoet aan alle selectiecriteria waarvoor conform het bestek een geconsolideerde beoordeling zal worden uitgevoerd</w:t>
            </w:r>
            <w:r w:rsidR="00F00DC7">
              <w:t>.</w:t>
            </w:r>
          </w:p>
        </w:tc>
        <w:tc>
          <w:tcPr>
            <w:tcW w:w="698" w:type="dxa"/>
            <w:shd w:val="clear" w:color="auto" w:fill="auto"/>
          </w:tcPr>
          <w:p w14:paraId="1618412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90" w:type="dxa"/>
            <w:gridSpan w:val="2"/>
            <w:shd w:val="clear" w:color="auto" w:fill="auto"/>
          </w:tcPr>
          <w:p w14:paraId="1618412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c>
          <w:tcPr>
            <w:tcW w:w="696" w:type="dxa"/>
          </w:tcPr>
          <w:p w14:paraId="1618413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D5C66">
              <w:rPr>
                <w:noProof/>
              </w:rPr>
            </w:r>
            <w:r w:rsidR="005D5C66">
              <w:rPr>
                <w:noProof/>
              </w:rPr>
              <w:fldChar w:fldCharType="separate"/>
            </w:r>
            <w:r>
              <w:rPr>
                <w:noProof/>
              </w:rPr>
              <w:fldChar w:fldCharType="end"/>
            </w:r>
          </w:p>
        </w:tc>
      </w:tr>
    </w:tbl>
    <w:p w14:paraId="688DC2CE" w14:textId="77777777" w:rsidR="005D5C66" w:rsidRDefault="005D5C66" w:rsidP="00154CF6">
      <w:pPr>
        <w:pStyle w:val="Title"/>
      </w:pPr>
    </w:p>
    <w:p w14:paraId="21775212" w14:textId="77777777" w:rsidR="005D5C66" w:rsidRDefault="005D5C66" w:rsidP="00154CF6">
      <w:pPr>
        <w:pStyle w:val="Title"/>
      </w:pPr>
    </w:p>
    <w:p w14:paraId="16184132" w14:textId="77777777" w:rsidR="00154CF6" w:rsidRPr="00BC61E2" w:rsidRDefault="00154CF6" w:rsidP="00154CF6">
      <w:pPr>
        <w:pStyle w:val="Title"/>
        <w:rPr>
          <w:i/>
        </w:rPr>
      </w:pPr>
      <w:bookmarkStart w:id="29" w:name="_GoBack"/>
      <w:bookmarkEnd w:id="29"/>
      <w:r>
        <w:t>VI</w:t>
      </w:r>
      <w:r w:rsidR="00513171">
        <w:t>I</w:t>
      </w:r>
      <w:r>
        <w:t>I – Bewijsstukken voor selectie</w:t>
      </w:r>
    </w:p>
    <w:p w14:paraId="16184133" w14:textId="77777777" w:rsidR="00154CF6" w:rsidRDefault="00C14ED9" w:rsidP="00154CF6">
      <w:pPr>
        <w:spacing w:before="100" w:beforeAutospacing="1" w:after="100" w:afterAutospacing="1"/>
        <w:jc w:val="both"/>
        <w:rPr>
          <w:noProof/>
        </w:rPr>
      </w:pPr>
      <w:r>
        <w:t>D</w:t>
      </w:r>
      <w:r w:rsidR="00154CF6">
        <w:t xml:space="preserve">e ondertekenaar verklaart dat de bovengenoemde persoon in staat is om op verzoek onverwijld de vereiste ondersteunende documenten te verstrekken die in de desbetreffende </w:t>
      </w:r>
      <w:r w:rsidR="00D4739B">
        <w:t xml:space="preserve">delen of punten </w:t>
      </w:r>
      <w:r w:rsidR="00154CF6">
        <w:t>van het bestek worden vermeld en niet elektronisch beschikbaar zijn.</w:t>
      </w:r>
    </w:p>
    <w:p w14:paraId="16184134" w14:textId="77777777" w:rsidR="001C5CDF" w:rsidRDefault="007857AE" w:rsidP="00154CF6">
      <w:pPr>
        <w:spacing w:before="100" w:beforeAutospacing="1" w:after="100" w:afterAutospacing="1"/>
        <w:jc w:val="both"/>
      </w:pPr>
      <w:r w:rsidRPr="007857AE">
        <w:t>De persoon hoeft geen bewijsstukken in te dienen die al eerder in het kader van een andere aanbestedingsprocedure zijn ingediend. De stukken mogen niet langer dan een jaar vóór de datum waarop de aanbestedende dienst erom verzoekt, zijn afgegeven, en moeten op die datum nog steeds geldig zijn.</w:t>
      </w:r>
    </w:p>
    <w:p w14:paraId="16184135" w14:textId="77777777" w:rsidR="001C5CDF" w:rsidRDefault="007857AE" w:rsidP="0024225B">
      <w:pPr>
        <w:spacing w:before="100" w:beforeAutospacing="1" w:after="100" w:afterAutospacing="1"/>
        <w:jc w:val="both"/>
      </w:pPr>
      <w:r w:rsidRPr="007857AE">
        <w:t>De ondertekenaar verklaart dat de persoon de bewijsstukken reeds heeft verstrekt in het kader van een vorige procedure en bevestigt dat de situatie van de persoon sindsdien niet is gewijzigd</w:t>
      </w:r>
      <w:r w:rsidR="00154CF6">
        <w:t xml:space="preserve">. </w:t>
      </w:r>
    </w:p>
    <w:tbl>
      <w:tblPr>
        <w:tblStyle w:val="TableGrid"/>
        <w:tblW w:w="9464" w:type="dxa"/>
        <w:tblLook w:val="04A0" w:firstRow="1" w:lastRow="0" w:firstColumn="1" w:lastColumn="0" w:noHBand="0" w:noVBand="1"/>
      </w:tblPr>
      <w:tblGrid>
        <w:gridCol w:w="4786"/>
        <w:gridCol w:w="4678"/>
      </w:tblGrid>
      <w:tr w:rsidR="00C87D95" w:rsidRPr="000C2EE8" w14:paraId="16184138" w14:textId="77777777" w:rsidTr="004D49FF">
        <w:tc>
          <w:tcPr>
            <w:tcW w:w="4786" w:type="dxa"/>
          </w:tcPr>
          <w:p w14:paraId="16184136" w14:textId="77777777" w:rsidR="00C87D95" w:rsidRPr="004D49FF" w:rsidRDefault="00C87D95" w:rsidP="007A4151">
            <w:pPr>
              <w:spacing w:before="100" w:beforeAutospacing="1" w:after="100" w:afterAutospacing="1"/>
              <w:jc w:val="center"/>
              <w:rPr>
                <w:b/>
                <w:sz w:val="22"/>
              </w:rPr>
            </w:pPr>
            <w:r>
              <w:rPr>
                <w:b/>
                <w:sz w:val="22"/>
              </w:rPr>
              <w:t>Stuk</w:t>
            </w:r>
          </w:p>
        </w:tc>
        <w:tc>
          <w:tcPr>
            <w:tcW w:w="4678" w:type="dxa"/>
          </w:tcPr>
          <w:p w14:paraId="16184137" w14:textId="77777777" w:rsidR="00C87D95" w:rsidRPr="004D49FF" w:rsidRDefault="00C87D95" w:rsidP="004D49FF">
            <w:pPr>
              <w:spacing w:before="100" w:beforeAutospacing="1" w:after="100" w:afterAutospacing="1"/>
              <w:jc w:val="center"/>
              <w:rPr>
                <w:b/>
                <w:sz w:val="22"/>
              </w:rPr>
            </w:pPr>
            <w:r>
              <w:rPr>
                <w:b/>
                <w:sz w:val="22"/>
              </w:rPr>
              <w:t>Volledige referentie vorige procedure</w:t>
            </w:r>
          </w:p>
        </w:tc>
      </w:tr>
      <w:tr w:rsidR="00C87D95" w14:paraId="1618413B" w14:textId="77777777" w:rsidTr="004D49FF">
        <w:tc>
          <w:tcPr>
            <w:tcW w:w="4786" w:type="dxa"/>
          </w:tcPr>
          <w:p w14:paraId="16184139" w14:textId="77777777" w:rsidR="00C87D95" w:rsidRDefault="00C87D95" w:rsidP="004D49FF">
            <w:pPr>
              <w:spacing w:before="100" w:beforeAutospacing="1" w:after="100" w:afterAutospacing="1"/>
            </w:pPr>
            <w:r>
              <w:rPr>
                <w:i/>
                <w:highlight w:val="lightGray"/>
              </w:rPr>
              <w:t>Voeg zoveel regels als nodig toe.</w:t>
            </w:r>
          </w:p>
        </w:tc>
        <w:tc>
          <w:tcPr>
            <w:tcW w:w="4678" w:type="dxa"/>
          </w:tcPr>
          <w:p w14:paraId="1618413A" w14:textId="77777777" w:rsidR="00C87D95" w:rsidRDefault="00C87D95" w:rsidP="004D49FF">
            <w:pPr>
              <w:spacing w:before="100" w:beforeAutospacing="1" w:after="100" w:afterAutospacing="1"/>
            </w:pPr>
          </w:p>
        </w:tc>
      </w:tr>
    </w:tbl>
    <w:p w14:paraId="1618413C" w14:textId="77777777" w:rsidR="001C5CDF" w:rsidRDefault="001C5CDF" w:rsidP="004D4F4A">
      <w:pPr>
        <w:spacing w:before="40" w:after="40"/>
        <w:jc w:val="both"/>
        <w:rPr>
          <w:noProof/>
        </w:rPr>
      </w:pPr>
    </w:p>
    <w:p w14:paraId="1618413D" w14:textId="77777777" w:rsidR="00BA61F8" w:rsidRPr="0024225B" w:rsidRDefault="00BA61F8" w:rsidP="004D4F4A">
      <w:pPr>
        <w:spacing w:before="40" w:after="40"/>
        <w:jc w:val="both"/>
        <w:rPr>
          <w:b/>
          <w:i/>
          <w:noProof/>
        </w:rPr>
      </w:pPr>
      <w:r>
        <w:rPr>
          <w:b/>
          <w:i/>
          <w:noProof/>
        </w:rPr>
        <w:t>De bovengenoemde persoon kan worden afgewezen in deze procedure en aan die persoon kunnen administratieve sancties (uitsluiting of financiële sancties) worden opgelegd wanneer de verklaringen of inlichtingen die worden verlangd als voorwaarde voor deelname aan de</w:t>
      </w:r>
      <w:r w:rsidR="00A33824">
        <w:rPr>
          <w:b/>
          <w:i/>
          <w:noProof/>
        </w:rPr>
        <w:t>ze</w:t>
      </w:r>
      <w:r>
        <w:rPr>
          <w:b/>
          <w:i/>
          <w:noProof/>
        </w:rPr>
        <w:t xml:space="preserve"> procedure, vals of onjuist blijken te zijn.</w:t>
      </w:r>
    </w:p>
    <w:p w14:paraId="1618413E" w14:textId="77777777" w:rsidR="00156071" w:rsidRPr="00F76ABA" w:rsidRDefault="00156071" w:rsidP="004D4F4A">
      <w:pPr>
        <w:spacing w:before="40" w:after="40"/>
        <w:jc w:val="both"/>
        <w:rPr>
          <w:noProof/>
        </w:rPr>
      </w:pPr>
    </w:p>
    <w:p w14:paraId="1618413F" w14:textId="77777777" w:rsidR="00DA410F" w:rsidRPr="00F76ABA" w:rsidRDefault="004D4F4A" w:rsidP="004A4B4A">
      <w:pPr>
        <w:tabs>
          <w:tab w:val="left" w:pos="4395"/>
          <w:tab w:val="left" w:pos="7797"/>
        </w:tabs>
        <w:spacing w:before="40" w:after="40"/>
        <w:jc w:val="both"/>
        <w:rPr>
          <w:noProof/>
        </w:rPr>
      </w:pPr>
      <w:r>
        <w:t>Volledige naam</w:t>
      </w:r>
      <w:r>
        <w:tab/>
        <w:t>Datum</w:t>
      </w:r>
      <w:r w:rsidR="00C84026">
        <w:t xml:space="preserve">                                            </w:t>
      </w:r>
      <w:r>
        <w:t>Handtekening</w:t>
      </w:r>
    </w:p>
    <w:p w14:paraId="16184140" w14:textId="77777777" w:rsidR="00DA410F" w:rsidRPr="00F76ABA" w:rsidRDefault="00DA410F" w:rsidP="004D4F4A">
      <w:pPr>
        <w:rPr>
          <w:noProof/>
        </w:rPr>
      </w:pPr>
    </w:p>
    <w:sectPr w:rsidR="00DA410F" w:rsidRPr="00F76ABA" w:rsidSect="00C11B0F">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4143" w14:textId="77777777" w:rsidR="00000D90" w:rsidRDefault="00000D90">
      <w:r>
        <w:separator/>
      </w:r>
    </w:p>
  </w:endnote>
  <w:endnote w:type="continuationSeparator" w:id="0">
    <w:p w14:paraId="16184144"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84141" w14:textId="77777777" w:rsidR="00000D90" w:rsidRDefault="00000D90">
      <w:r>
        <w:separator/>
      </w:r>
    </w:p>
  </w:footnote>
  <w:footnote w:type="continuationSeparator" w:id="0">
    <w:p w14:paraId="16184142"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494D" w14:textId="77777777" w:rsidR="00AA652F" w:rsidRDefault="00AA652F" w:rsidP="00AA652F">
    <w:pPr>
      <w:pStyle w:val="Header"/>
      <w:jc w:val="right"/>
      <w:rPr>
        <w:sz w:val="20"/>
      </w:rPr>
    </w:pPr>
    <w:r w:rsidRPr="00B11172">
      <w:rPr>
        <w:sz w:val="18"/>
        <w:lang w:val="fr-BE"/>
      </w:rPr>
      <w:t>PMO3/PR/2016/027</w:t>
    </w:r>
  </w:p>
  <w:p w14:paraId="16184145" w14:textId="77777777" w:rsidR="00343F23" w:rsidRPr="004A3BDB" w:rsidRDefault="004A3BDB" w:rsidP="004A3BDB">
    <w:pPr>
      <w:pStyle w:val="Header"/>
      <w:jc w:val="right"/>
      <w:rPr>
        <w:sz w:val="20"/>
      </w:rPr>
    </w:pPr>
    <w:r>
      <w:rPr>
        <w:sz w:val="20"/>
      </w:rPr>
      <w:t>Versie maart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C98EE750"/>
    <w:lvl w:ilvl="0" w:tplc="A236A228">
      <w:start w:val="1"/>
      <w:numFmt w:val="lowerRoman"/>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4303EE"/>
    <w:multiLevelType w:val="hybridMultilevel"/>
    <w:tmpl w:val="C4EAE06C"/>
    <w:lvl w:ilvl="0" w:tplc="FA8C53AA">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A5AAF750"/>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3B66183E"/>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B7ACAEC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1"/>
  </w:num>
  <w:num w:numId="7">
    <w:abstractNumId w:val="25"/>
  </w:num>
  <w:num w:numId="8">
    <w:abstractNumId w:val="15"/>
  </w:num>
  <w:num w:numId="9">
    <w:abstractNumId w:val="9"/>
  </w:num>
  <w:num w:numId="10">
    <w:abstractNumId w:val="7"/>
  </w:num>
  <w:num w:numId="11">
    <w:abstractNumId w:val="2"/>
  </w:num>
  <w:num w:numId="12">
    <w:abstractNumId w:val="20"/>
  </w:num>
  <w:num w:numId="13">
    <w:abstractNumId w:val="24"/>
  </w:num>
  <w:num w:numId="14">
    <w:abstractNumId w:val="18"/>
  </w:num>
  <w:num w:numId="15">
    <w:abstractNumId w:val="8"/>
  </w:num>
  <w:num w:numId="16">
    <w:abstractNumId w:val="19"/>
  </w:num>
  <w:num w:numId="17">
    <w:abstractNumId w:val="10"/>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6"/>
  </w:num>
  <w:num w:numId="2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B1CFB"/>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3171"/>
    <w:rsid w:val="00515AA9"/>
    <w:rsid w:val="00583379"/>
    <w:rsid w:val="00590E7C"/>
    <w:rsid w:val="005A24DC"/>
    <w:rsid w:val="005B251C"/>
    <w:rsid w:val="005C6293"/>
    <w:rsid w:val="005D5C66"/>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857AE"/>
    <w:rsid w:val="00797829"/>
    <w:rsid w:val="007A4151"/>
    <w:rsid w:val="007C10CF"/>
    <w:rsid w:val="007C1171"/>
    <w:rsid w:val="007C6650"/>
    <w:rsid w:val="007D7A5F"/>
    <w:rsid w:val="007E73DD"/>
    <w:rsid w:val="007E7A77"/>
    <w:rsid w:val="00810432"/>
    <w:rsid w:val="00827F90"/>
    <w:rsid w:val="00840901"/>
    <w:rsid w:val="0084444D"/>
    <w:rsid w:val="00845AA5"/>
    <w:rsid w:val="00855A0B"/>
    <w:rsid w:val="00863E25"/>
    <w:rsid w:val="00870C14"/>
    <w:rsid w:val="00874F07"/>
    <w:rsid w:val="00876C34"/>
    <w:rsid w:val="00876E1A"/>
    <w:rsid w:val="008914D7"/>
    <w:rsid w:val="00892BCE"/>
    <w:rsid w:val="00897553"/>
    <w:rsid w:val="008B1377"/>
    <w:rsid w:val="008B6FD1"/>
    <w:rsid w:val="008C072D"/>
    <w:rsid w:val="008C4A00"/>
    <w:rsid w:val="008D3947"/>
    <w:rsid w:val="00911FA8"/>
    <w:rsid w:val="009134A2"/>
    <w:rsid w:val="009402EB"/>
    <w:rsid w:val="00951A6D"/>
    <w:rsid w:val="00954EF6"/>
    <w:rsid w:val="009765C0"/>
    <w:rsid w:val="00985E31"/>
    <w:rsid w:val="009D19B9"/>
    <w:rsid w:val="009F09C3"/>
    <w:rsid w:val="009F5E6E"/>
    <w:rsid w:val="00A04C4A"/>
    <w:rsid w:val="00A278B9"/>
    <w:rsid w:val="00A33824"/>
    <w:rsid w:val="00A40405"/>
    <w:rsid w:val="00A52221"/>
    <w:rsid w:val="00A67419"/>
    <w:rsid w:val="00AA00F5"/>
    <w:rsid w:val="00AA0A0C"/>
    <w:rsid w:val="00AA10D6"/>
    <w:rsid w:val="00AA652F"/>
    <w:rsid w:val="00AB251A"/>
    <w:rsid w:val="00AB30FA"/>
    <w:rsid w:val="00AD1D16"/>
    <w:rsid w:val="00AD3CBA"/>
    <w:rsid w:val="00AF508E"/>
    <w:rsid w:val="00AF6D8E"/>
    <w:rsid w:val="00B122B7"/>
    <w:rsid w:val="00B13667"/>
    <w:rsid w:val="00B15C09"/>
    <w:rsid w:val="00B26822"/>
    <w:rsid w:val="00B316EE"/>
    <w:rsid w:val="00B418F3"/>
    <w:rsid w:val="00B84C49"/>
    <w:rsid w:val="00B953D3"/>
    <w:rsid w:val="00BA4E90"/>
    <w:rsid w:val="00BA61F8"/>
    <w:rsid w:val="00BC61E2"/>
    <w:rsid w:val="00BD22D5"/>
    <w:rsid w:val="00BE4FA7"/>
    <w:rsid w:val="00BF2C04"/>
    <w:rsid w:val="00C03988"/>
    <w:rsid w:val="00C11B0F"/>
    <w:rsid w:val="00C14ED9"/>
    <w:rsid w:val="00C25331"/>
    <w:rsid w:val="00C25E66"/>
    <w:rsid w:val="00C40246"/>
    <w:rsid w:val="00C42E79"/>
    <w:rsid w:val="00C475D8"/>
    <w:rsid w:val="00C55150"/>
    <w:rsid w:val="00C61FE0"/>
    <w:rsid w:val="00C66664"/>
    <w:rsid w:val="00C67D45"/>
    <w:rsid w:val="00C734EA"/>
    <w:rsid w:val="00C84026"/>
    <w:rsid w:val="00C86C9B"/>
    <w:rsid w:val="00C87D95"/>
    <w:rsid w:val="00C97E7C"/>
    <w:rsid w:val="00CA27B0"/>
    <w:rsid w:val="00CA5311"/>
    <w:rsid w:val="00CB5635"/>
    <w:rsid w:val="00CC289B"/>
    <w:rsid w:val="00CC78A2"/>
    <w:rsid w:val="00CD27BA"/>
    <w:rsid w:val="00CE5846"/>
    <w:rsid w:val="00CF7AF0"/>
    <w:rsid w:val="00D177A8"/>
    <w:rsid w:val="00D231DD"/>
    <w:rsid w:val="00D37B9A"/>
    <w:rsid w:val="00D4739B"/>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43AE4"/>
    <w:rsid w:val="00E6004E"/>
    <w:rsid w:val="00EC08C2"/>
    <w:rsid w:val="00EC5131"/>
    <w:rsid w:val="00EF4899"/>
    <w:rsid w:val="00F00DC7"/>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618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nl-NL" w:bidi="nl-NL"/>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qFormat/>
    <w:rsid w:val="00DA410F"/>
    <w:pPr>
      <w:spacing w:before="120" w:after="120"/>
      <w:ind w:left="850"/>
      <w:jc w:val="both"/>
    </w:pPr>
  </w:style>
  <w:style w:type="character" w:customStyle="1" w:styleId="Text1Char">
    <w:name w:val="Text 1 Char"/>
    <w:link w:val="Text1"/>
    <w:rsid w:val="00DA410F"/>
    <w:rPr>
      <w:sz w:val="24"/>
      <w:szCs w:val="24"/>
      <w:lang w:val="nl-NL" w:eastAsia="nl-NL" w:bidi="nl-NL"/>
    </w:rPr>
  </w:style>
  <w:style w:type="character" w:styleId="FootnoteReference">
    <w:name w:val="footnote reference"/>
    <w:rsid w:val="00DA410F"/>
    <w:rPr>
      <w:vertAlign w:val="superscript"/>
    </w:rPr>
  </w:style>
  <w:style w:type="paragraph" w:styleId="FootnoteText">
    <w:name w:val="footnote text"/>
    <w:basedOn w:val="Normal"/>
    <w:link w:val="FootnoteTextChar"/>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nl-NL" w:bidi="nl-NL"/>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nl-NL" w:eastAsia="nl-NL"/>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nl-NL"/>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character" w:customStyle="1" w:styleId="FootnoteTextChar">
    <w:name w:val="Footnote Text Char"/>
    <w:link w:val="FootnoteText"/>
    <w:rsid w:val="00AA652F"/>
  </w:style>
  <w:style w:type="paragraph" w:styleId="ListParagraph">
    <w:name w:val="List Paragraph"/>
    <w:basedOn w:val="Normal"/>
    <w:uiPriority w:val="34"/>
    <w:qFormat/>
    <w:rsid w:val="00AA652F"/>
    <w:pPr>
      <w:suppressAutoHyphens/>
      <w:spacing w:after="240"/>
      <w:ind w:left="720"/>
      <w:contextualSpacing/>
      <w:jc w:val="both"/>
    </w:pPr>
    <w:rPr>
      <w:szCs w:val="20"/>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nl-NL" w:bidi="nl-NL"/>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qFormat/>
    <w:rsid w:val="00DA410F"/>
    <w:pPr>
      <w:spacing w:before="120" w:after="120"/>
      <w:ind w:left="850"/>
      <w:jc w:val="both"/>
    </w:pPr>
  </w:style>
  <w:style w:type="character" w:customStyle="1" w:styleId="Text1Char">
    <w:name w:val="Text 1 Char"/>
    <w:link w:val="Text1"/>
    <w:rsid w:val="00DA410F"/>
    <w:rPr>
      <w:sz w:val="24"/>
      <w:szCs w:val="24"/>
      <w:lang w:val="nl-NL" w:eastAsia="nl-NL" w:bidi="nl-NL"/>
    </w:rPr>
  </w:style>
  <w:style w:type="character" w:styleId="FootnoteReference">
    <w:name w:val="footnote reference"/>
    <w:rsid w:val="00DA410F"/>
    <w:rPr>
      <w:vertAlign w:val="superscript"/>
    </w:rPr>
  </w:style>
  <w:style w:type="paragraph" w:styleId="FootnoteText">
    <w:name w:val="footnote text"/>
    <w:basedOn w:val="Normal"/>
    <w:link w:val="FootnoteTextChar"/>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nl-NL" w:bidi="nl-NL"/>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nl-NL" w:eastAsia="nl-NL"/>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nl-NL"/>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character" w:customStyle="1" w:styleId="FootnoteTextChar">
    <w:name w:val="Footnote Text Char"/>
    <w:link w:val="FootnoteText"/>
    <w:rsid w:val="00AA652F"/>
  </w:style>
  <w:style w:type="paragraph" w:styleId="ListParagraph">
    <w:name w:val="List Paragraph"/>
    <w:basedOn w:val="Normal"/>
    <w:uiPriority w:val="34"/>
    <w:qFormat/>
    <w:rsid w:val="00AA652F"/>
    <w:pPr>
      <w:suppressAutoHyphens/>
      <w:spacing w:after="240"/>
      <w:ind w:left="720"/>
      <w:contextualSpacing/>
      <w:jc w:val="both"/>
    </w:pPr>
    <w:rPr>
      <w:szCs w:val="20"/>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3648">
      <w:bodyDiv w:val="1"/>
      <w:marLeft w:val="0"/>
      <w:marRight w:val="0"/>
      <w:marTop w:val="0"/>
      <w:marBottom w:val="0"/>
      <w:divBdr>
        <w:top w:val="none" w:sz="0" w:space="0" w:color="auto"/>
        <w:left w:val="none" w:sz="0" w:space="0" w:color="auto"/>
        <w:bottom w:val="none" w:sz="0" w:space="0" w:color="auto"/>
        <w:right w:val="none" w:sz="0" w:space="0" w:color="auto"/>
      </w:divBdr>
    </w:div>
    <w:div w:id="897401742">
      <w:bodyDiv w:val="1"/>
      <w:marLeft w:val="0"/>
      <w:marRight w:val="0"/>
      <w:marTop w:val="0"/>
      <w:marBottom w:val="0"/>
      <w:divBdr>
        <w:top w:val="none" w:sz="0" w:space="0" w:color="auto"/>
        <w:left w:val="none" w:sz="0" w:space="0" w:color="auto"/>
        <w:bottom w:val="none" w:sz="0" w:space="0" w:color="auto"/>
        <w:right w:val="none" w:sz="0" w:space="0" w:color="auto"/>
      </w:divBdr>
    </w:div>
    <w:div w:id="10975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uropass.cedefop.europa.eu/fr/resources/european-language-levels-ce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opass.cedefop.europa.eu/fr/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f51cdbbe89dd706b17d0743700f9b35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13b5aaed1513278ee62c1fc38d5551d1"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documentManagement/types"/>
    <ds:schemaRef ds:uri="http://schemas.microsoft.com/office/infopath/2007/PartnerControls"/>
    <ds:schemaRef ds:uri="http://purl.org/dc/elements/1.1/"/>
    <ds:schemaRef ds:uri="http://www.w3.org/XML/1998/namespace"/>
    <ds:schemaRef ds:uri="79b00d18-08f8-42b8-b508-18409458f1d1"/>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94FD4DA-A493-4417-87CB-886FDBCF9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4EA01-0B09-4BAB-B616-E4764B35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2422</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HOWET Jessica (HR)</cp:lastModifiedBy>
  <cp:revision>4</cp:revision>
  <cp:lastPrinted>2016-03-03T14:50:00Z</cp:lastPrinted>
  <dcterms:created xsi:type="dcterms:W3CDTF">2016-08-03T15:00:00Z</dcterms:created>
  <dcterms:modified xsi:type="dcterms:W3CDTF">2016-08-23T18:12:00Z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ategory0">
    <vt:lpwstr>Letter/declaration</vt:lpwstr>
  </property>
  <property fmtid="{D5CDD505-2E9C-101B-9397-08002B2CF9AE}" pid="4" name="ContentTypeId">
    <vt:lpwstr>0x010100E2CEF94C90566644A6303F8B5C61B1E7</vt:lpwstr>
  </property>
</Properties>
</file>