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5478"/>
        <w:gridCol w:w="2522"/>
      </w:tblGrid>
      <w:tr w:rsidR="00793DB4" w:rsidRPr="00FA44F0" w:rsidTr="003720ED">
        <w:trPr>
          <w:trHeight w:val="1475"/>
        </w:trPr>
        <w:tc>
          <w:tcPr>
            <w:tcW w:w="1772" w:type="dxa"/>
          </w:tcPr>
          <w:p w:rsidR="00793DB4" w:rsidRPr="00482B00" w:rsidRDefault="00AB6290" w:rsidP="003720E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9" type="#_x0000_t75" alt="EC_Symbol(POS)_LowRes" style="position:absolute;margin-left:4.65pt;margin-top:4.65pt;width:76.55pt;height:66.65pt;z-index:251657728;visibility:visible">
                  <v:imagedata r:id="rId9" o:title="EC_Symbol(POS)_LowRes" croptop="10475f" cropbottom="10839f" cropleft="9893f" cropright="9877f"/>
                </v:shape>
              </w:pict>
            </w:r>
          </w:p>
        </w:tc>
        <w:tc>
          <w:tcPr>
            <w:tcW w:w="5478" w:type="dxa"/>
            <w:vAlign w:val="bottom"/>
          </w:tcPr>
          <w:p w:rsidR="00793DB4" w:rsidRPr="0005628E" w:rsidRDefault="00793DB4" w:rsidP="003720ED">
            <w:pPr>
              <w:pStyle w:val="Paragraphestandard"/>
              <w:spacing w:line="250" w:lineRule="atLeast"/>
              <w:rPr>
                <w:b/>
                <w:bCs/>
                <w:color w:val="505050"/>
                <w:sz w:val="23"/>
                <w:szCs w:val="23"/>
              </w:rPr>
            </w:pPr>
            <w:r>
              <w:rPr>
                <w:b/>
                <w:bCs/>
                <w:color w:val="505050"/>
                <w:sz w:val="23"/>
                <w:szCs w:val="23"/>
              </w:rPr>
              <w:t>Raad van de Europese Unie</w:t>
            </w:r>
          </w:p>
          <w:p w:rsidR="00793DB4" w:rsidRPr="0005628E" w:rsidRDefault="00793DB4" w:rsidP="003720ED">
            <w:pPr>
              <w:pStyle w:val="Paragraphestandard"/>
              <w:spacing w:line="250" w:lineRule="atLeast"/>
              <w:rPr>
                <w:color w:val="4D4D4D"/>
                <w:sz w:val="23"/>
                <w:szCs w:val="23"/>
              </w:rPr>
            </w:pPr>
            <w:r>
              <w:rPr>
                <w:color w:val="505050"/>
                <w:sz w:val="23"/>
                <w:szCs w:val="23"/>
              </w:rPr>
              <w:t>Secretariaat-generaal</w:t>
            </w:r>
          </w:p>
        </w:tc>
        <w:tc>
          <w:tcPr>
            <w:tcW w:w="2522" w:type="dxa"/>
          </w:tcPr>
          <w:p w:rsidR="00793DB4" w:rsidRPr="0005628E" w:rsidRDefault="00793DB4" w:rsidP="003720ED">
            <w:pPr>
              <w:pStyle w:val="Paragraphestandard"/>
              <w:jc w:val="right"/>
              <w:rPr>
                <w:b/>
                <w:bCs/>
                <w:caps/>
                <w:color w:val="003399"/>
                <w:sz w:val="60"/>
                <w:szCs w:val="60"/>
              </w:rPr>
            </w:pPr>
          </w:p>
        </w:tc>
      </w:tr>
      <w:tr w:rsidR="00793DB4" w:rsidRPr="00FA44F0" w:rsidTr="003720ED">
        <w:trPr>
          <w:trHeight w:val="1081"/>
        </w:trPr>
        <w:tc>
          <w:tcPr>
            <w:tcW w:w="1772" w:type="dxa"/>
          </w:tcPr>
          <w:p w:rsidR="00793DB4" w:rsidRPr="005D0DCE" w:rsidRDefault="00793DB4" w:rsidP="003720ED">
            <w:pPr>
              <w:pStyle w:val="Paragraphestandard"/>
              <w:spacing w:line="250" w:lineRule="atLeast"/>
              <w:rPr>
                <w:rFonts w:ascii="ArialMT" w:hAnsi="ArialMT" w:cs="ArialMT"/>
                <w:color w:val="505050"/>
                <w:sz w:val="23"/>
                <w:szCs w:val="23"/>
              </w:rPr>
            </w:pPr>
          </w:p>
        </w:tc>
        <w:tc>
          <w:tcPr>
            <w:tcW w:w="8000" w:type="dxa"/>
            <w:gridSpan w:val="2"/>
          </w:tcPr>
          <w:p w:rsidR="00793DB4" w:rsidRPr="0005628E" w:rsidRDefault="00793DB4" w:rsidP="003720ED">
            <w:pPr>
              <w:pStyle w:val="Paragraphestandard"/>
              <w:spacing w:before="80" w:line="250" w:lineRule="atLeast"/>
              <w:rPr>
                <w:color w:val="4D4D4D"/>
                <w:sz w:val="23"/>
                <w:szCs w:val="23"/>
              </w:rPr>
            </w:pPr>
            <w:r>
              <w:rPr>
                <w:color w:val="4D4D4D"/>
                <w:sz w:val="23"/>
                <w:szCs w:val="23"/>
              </w:rPr>
              <w:t>Directoraat-generaal Administratie</w:t>
            </w:r>
          </w:p>
          <w:p w:rsidR="00793DB4" w:rsidRPr="0005628E" w:rsidRDefault="00793DB4" w:rsidP="00F06D12">
            <w:pPr>
              <w:pStyle w:val="Paragraphestandard"/>
              <w:spacing w:line="250" w:lineRule="atLeast"/>
              <w:rPr>
                <w:color w:val="4D4D4D"/>
                <w:sz w:val="23"/>
                <w:szCs w:val="23"/>
              </w:rPr>
            </w:pPr>
            <w:r>
              <w:rPr>
                <w:color w:val="4D4D4D"/>
                <w:sz w:val="23"/>
                <w:szCs w:val="23"/>
              </w:rPr>
              <w:t>Directoraat Gebouwen &amp; Logistiek</w:t>
            </w:r>
          </w:p>
          <w:p w:rsidR="00793DB4" w:rsidRPr="0005628E" w:rsidRDefault="00793DB4" w:rsidP="003720ED">
            <w:pPr>
              <w:pStyle w:val="Paragraphestandard"/>
              <w:spacing w:line="250" w:lineRule="atLeast"/>
              <w:rPr>
                <w:color w:val="4D4D4D"/>
                <w:sz w:val="23"/>
                <w:szCs w:val="23"/>
              </w:rPr>
            </w:pPr>
            <w:r>
              <w:rPr>
                <w:color w:val="4D4D4D"/>
                <w:sz w:val="23"/>
                <w:szCs w:val="23"/>
              </w:rPr>
              <w:t>Eenheid Financiën</w:t>
            </w:r>
          </w:p>
          <w:p w:rsidR="00793DB4" w:rsidRPr="0005628E" w:rsidRDefault="00793DB4" w:rsidP="003720ED">
            <w:pPr>
              <w:pStyle w:val="Paragraphestandard"/>
              <w:spacing w:line="250" w:lineRule="atLeast"/>
              <w:rPr>
                <w:b/>
                <w:bCs/>
                <w:caps/>
                <w:color w:val="003399"/>
                <w:w w:val="97"/>
                <w:sz w:val="23"/>
                <w:szCs w:val="23"/>
              </w:rPr>
            </w:pPr>
            <w:r>
              <w:rPr>
                <w:i/>
                <w:iCs/>
                <w:color w:val="4D4D4D"/>
                <w:sz w:val="23"/>
                <w:szCs w:val="23"/>
              </w:rPr>
              <w:t>Sector "Openbare aanbestedingen"</w:t>
            </w:r>
          </w:p>
        </w:tc>
      </w:tr>
    </w:tbl>
    <w:p w:rsidR="00A142EE" w:rsidRPr="00262EA8" w:rsidRDefault="00A142EE" w:rsidP="00A142EE">
      <w:pPr>
        <w:spacing w:line="240" w:lineRule="auto"/>
        <w:ind w:right="-993"/>
      </w:pPr>
    </w:p>
    <w:tbl>
      <w:tblPr>
        <w:tblW w:w="9772" w:type="dxa"/>
        <w:tblInd w:w="-108" w:type="dxa"/>
        <w:tblCellMar>
          <w:left w:w="0" w:type="dxa"/>
          <w:right w:w="0" w:type="dxa"/>
        </w:tblCellMar>
        <w:tblLook w:val="00A0" w:firstRow="1" w:lastRow="0" w:firstColumn="1" w:lastColumn="0" w:noHBand="0" w:noVBand="0"/>
      </w:tblPr>
      <w:tblGrid>
        <w:gridCol w:w="1772"/>
        <w:gridCol w:w="4831"/>
        <w:gridCol w:w="3169"/>
      </w:tblGrid>
      <w:tr w:rsidR="00793DB4" w:rsidRPr="00D92203" w:rsidTr="003720ED">
        <w:trPr>
          <w:trHeight w:val="487"/>
        </w:trPr>
        <w:tc>
          <w:tcPr>
            <w:tcW w:w="1772" w:type="dxa"/>
          </w:tcPr>
          <w:p w:rsidR="00793DB4" w:rsidRPr="00D92203" w:rsidRDefault="00793DB4" w:rsidP="003720ED">
            <w:pPr>
              <w:pStyle w:val="Paragraphestandard"/>
              <w:spacing w:line="250" w:lineRule="atLeast"/>
              <w:rPr>
                <w:color w:val="505050"/>
                <w:sz w:val="23"/>
                <w:szCs w:val="23"/>
              </w:rPr>
            </w:pPr>
          </w:p>
        </w:tc>
        <w:tc>
          <w:tcPr>
            <w:tcW w:w="4831" w:type="dxa"/>
          </w:tcPr>
          <w:p w:rsidR="00793DB4" w:rsidRPr="00D92203" w:rsidRDefault="00793DB4" w:rsidP="003720ED">
            <w:pPr>
              <w:pStyle w:val="Paragraphestandard"/>
              <w:spacing w:line="250" w:lineRule="atLeast"/>
              <w:rPr>
                <w:color w:val="505050"/>
                <w:sz w:val="23"/>
                <w:szCs w:val="23"/>
              </w:rPr>
            </w:pPr>
          </w:p>
        </w:tc>
        <w:tc>
          <w:tcPr>
            <w:tcW w:w="3169" w:type="dxa"/>
          </w:tcPr>
          <w:p w:rsidR="00793DB4" w:rsidRPr="00D92203" w:rsidRDefault="00793DB4" w:rsidP="003720ED">
            <w:pPr>
              <w:pStyle w:val="Paragraphestandard"/>
              <w:spacing w:line="250" w:lineRule="atLeast"/>
              <w:jc w:val="right"/>
              <w:rPr>
                <w:color w:val="003399"/>
                <w:sz w:val="23"/>
                <w:szCs w:val="23"/>
              </w:rPr>
            </w:pPr>
            <w:r>
              <w:rPr>
                <w:color w:val="003399"/>
                <w:sz w:val="23"/>
                <w:szCs w:val="23"/>
                <w:highlight w:val="yellow"/>
              </w:rPr>
              <w:t>Datum</w:t>
            </w:r>
          </w:p>
        </w:tc>
      </w:tr>
    </w:tbl>
    <w:p w:rsidR="00A142EE" w:rsidRPr="00783400" w:rsidRDefault="00A142EE" w:rsidP="00A142EE">
      <w:pPr>
        <w:spacing w:line="240" w:lineRule="auto"/>
      </w:pPr>
    </w:p>
    <w:p w:rsidR="00A142EE" w:rsidRPr="00344877" w:rsidRDefault="00A142EE" w:rsidP="007C794C">
      <w:pPr>
        <w:pBdr>
          <w:top w:val="single" w:sz="12" w:space="1" w:color="auto" w:shadow="1"/>
          <w:left w:val="single" w:sz="12" w:space="4" w:color="auto" w:shadow="1"/>
          <w:bottom w:val="single" w:sz="12" w:space="1" w:color="auto" w:shadow="1"/>
          <w:right w:val="single" w:sz="12" w:space="4" w:color="auto" w:shadow="1"/>
        </w:pBdr>
        <w:jc w:val="center"/>
        <w:rPr>
          <w:b/>
          <w:bCs/>
          <w:sz w:val="48"/>
          <w:szCs w:val="48"/>
        </w:rPr>
      </w:pPr>
      <w:r>
        <w:rPr>
          <w:b/>
          <w:bCs/>
          <w:sz w:val="48"/>
          <w:szCs w:val="48"/>
        </w:rPr>
        <w:t>Uitnodiging tot inschrijving</w:t>
      </w:r>
    </w:p>
    <w:p w:rsidR="00A142EE" w:rsidRPr="00344877" w:rsidRDefault="00A142EE" w:rsidP="00643F2F">
      <w:pPr>
        <w:pBdr>
          <w:top w:val="single" w:sz="12" w:space="1" w:color="auto" w:shadow="1"/>
          <w:left w:val="single" w:sz="12" w:space="4" w:color="auto" w:shadow="1"/>
          <w:bottom w:val="single" w:sz="12" w:space="1" w:color="auto" w:shadow="1"/>
          <w:right w:val="single" w:sz="12" w:space="4" w:color="auto" w:shadow="1"/>
        </w:pBdr>
        <w:jc w:val="center"/>
        <w:rPr>
          <w:b/>
          <w:bCs/>
          <w:sz w:val="32"/>
          <w:szCs w:val="32"/>
        </w:rPr>
      </w:pPr>
      <w:r>
        <w:rPr>
          <w:b/>
          <w:bCs/>
          <w:sz w:val="32"/>
          <w:szCs w:val="32"/>
        </w:rPr>
        <w:t xml:space="preserve">Aanbesteding UCA </w:t>
      </w:r>
      <w:r w:rsidR="00643F2F">
        <w:rPr>
          <w:b/>
          <w:bCs/>
          <w:sz w:val="32"/>
          <w:szCs w:val="32"/>
        </w:rPr>
        <w:t>028</w:t>
      </w:r>
      <w:r>
        <w:rPr>
          <w:b/>
          <w:bCs/>
          <w:sz w:val="32"/>
          <w:szCs w:val="32"/>
        </w:rPr>
        <w:t>/16</w:t>
      </w:r>
    </w:p>
    <w:p w:rsidR="00A142EE" w:rsidRPr="00344877" w:rsidRDefault="00A142EE" w:rsidP="002A1E21">
      <w:pPr>
        <w:pBdr>
          <w:top w:val="single" w:sz="12" w:space="1" w:color="auto" w:shadow="1"/>
          <w:left w:val="single" w:sz="12" w:space="4" w:color="auto" w:shadow="1"/>
          <w:bottom w:val="single" w:sz="12" w:space="1" w:color="auto" w:shadow="1"/>
          <w:right w:val="single" w:sz="12" w:space="4" w:color="auto" w:shadow="1"/>
        </w:pBdr>
        <w:jc w:val="center"/>
        <w:rPr>
          <w:highlight w:val="cyan"/>
        </w:rPr>
      </w:pPr>
      <w:r>
        <w:rPr>
          <w:b/>
          <w:bCs/>
          <w:sz w:val="32"/>
          <w:szCs w:val="32"/>
        </w:rPr>
        <w:t>Openbare procedure</w:t>
      </w:r>
    </w:p>
    <w:p w:rsidR="00A142EE" w:rsidRPr="00095E20" w:rsidRDefault="00095E20" w:rsidP="00DA5A7B">
      <w:pPr>
        <w:pBdr>
          <w:top w:val="single" w:sz="12" w:space="1" w:color="auto" w:shadow="1"/>
          <w:left w:val="single" w:sz="12" w:space="4" w:color="auto" w:shadow="1"/>
          <w:bottom w:val="single" w:sz="12" w:space="1" w:color="auto" w:shadow="1"/>
          <w:right w:val="single" w:sz="12" w:space="4" w:color="auto" w:shadow="1"/>
        </w:pBdr>
        <w:jc w:val="center"/>
        <w:rPr>
          <w:highlight w:val="cyan"/>
        </w:rPr>
      </w:pPr>
      <w:r>
        <w:rPr>
          <w:sz w:val="28"/>
          <w:szCs w:val="28"/>
        </w:rPr>
        <w:t>B - Brussel: Onderhoud met volledige garantie, het verhelpen van storingen en het</w:t>
      </w:r>
      <w:r w:rsidR="00DA5A7B">
        <w:rPr>
          <w:sz w:val="28"/>
          <w:szCs w:val="28"/>
        </w:rPr>
        <w:t> </w:t>
      </w:r>
      <w:r>
        <w:rPr>
          <w:sz w:val="28"/>
          <w:szCs w:val="28"/>
        </w:rPr>
        <w:t>repareren van de installaties voor het reinigen van de gevels van het</w:t>
      </w:r>
      <w:r w:rsidR="00262EA8">
        <w:rPr>
          <w:sz w:val="28"/>
          <w:szCs w:val="28"/>
        </w:rPr>
        <w:t> </w:t>
      </w:r>
      <w:r>
        <w:rPr>
          <w:sz w:val="28"/>
          <w:szCs w:val="28"/>
        </w:rPr>
        <w:t>Justus</w:t>
      </w:r>
      <w:r w:rsidR="00262EA8">
        <w:rPr>
          <w:sz w:val="28"/>
          <w:szCs w:val="28"/>
        </w:rPr>
        <w:t> </w:t>
      </w:r>
      <w:r>
        <w:rPr>
          <w:sz w:val="28"/>
          <w:szCs w:val="28"/>
        </w:rPr>
        <w:t xml:space="preserve">Lipsiusgebouw (perceel 1), het Lexgebouw (perceel 2) en de gebouwen van de Comités (het Europees Economisch en Sociaal Comité </w:t>
      </w:r>
      <w:r w:rsidR="00262EA8">
        <w:rPr>
          <w:sz w:val="28"/>
          <w:szCs w:val="28"/>
        </w:rPr>
        <w:br/>
      </w:r>
      <w:r>
        <w:rPr>
          <w:sz w:val="28"/>
          <w:szCs w:val="28"/>
        </w:rPr>
        <w:t>en het Comité van de</w:t>
      </w:r>
      <w:r w:rsidR="00262EA8">
        <w:rPr>
          <w:sz w:val="28"/>
          <w:szCs w:val="28"/>
        </w:rPr>
        <w:t> </w:t>
      </w:r>
      <w:r>
        <w:rPr>
          <w:sz w:val="28"/>
          <w:szCs w:val="28"/>
        </w:rPr>
        <w:t>Regio</w:t>
      </w:r>
      <w:r w:rsidR="00262EA8">
        <w:rPr>
          <w:sz w:val="28"/>
          <w:szCs w:val="28"/>
        </w:rPr>
        <w:t>'</w:t>
      </w:r>
      <w:r>
        <w:rPr>
          <w:sz w:val="28"/>
          <w:szCs w:val="28"/>
        </w:rPr>
        <w:t>s) (perceel 3)</w:t>
      </w:r>
    </w:p>
    <w:p w:rsidR="00814EA5" w:rsidRPr="00360EA6" w:rsidRDefault="00814EA5" w:rsidP="00A142EE">
      <w:pPr>
        <w:spacing w:line="240" w:lineRule="auto"/>
        <w:jc w:val="both"/>
      </w:pPr>
      <w:r>
        <w:tab/>
      </w:r>
    </w:p>
    <w:p w:rsidR="00814EA5" w:rsidRPr="00262EA8" w:rsidRDefault="00814EA5" w:rsidP="00825EAF">
      <w:pPr>
        <w:spacing w:line="240" w:lineRule="auto"/>
        <w:jc w:val="both"/>
      </w:pPr>
    </w:p>
    <w:p w:rsidR="00814EA5" w:rsidRPr="00262EA8" w:rsidRDefault="00814EA5" w:rsidP="00825EAF">
      <w:pPr>
        <w:spacing w:line="240" w:lineRule="auto"/>
        <w:jc w:val="both"/>
      </w:pPr>
    </w:p>
    <w:p w:rsidR="0077461C" w:rsidRDefault="00814EA5" w:rsidP="00825EAF">
      <w:pPr>
        <w:spacing w:line="240" w:lineRule="auto"/>
        <w:jc w:val="both"/>
      </w:pPr>
      <w:r>
        <w:t>Het secretariaat-generaal van de Raad van de Europese Unie (SGR) nodigt u uit tot het indienen van een offerte in het kader van de bovengenoemde aanbesteding, overeenkomstig de voorwaarden die zijn vastgelegd in deze uitnodiging tot inschrijving en in de overige desbetreffende inschrijvings</w:t>
      </w:r>
      <w:r w:rsidR="00262EA8">
        <w:softHyphen/>
      </w:r>
      <w:r>
        <w:t>documenten.</w:t>
      </w:r>
    </w:p>
    <w:p w:rsidR="0077461C" w:rsidRPr="00262EA8" w:rsidRDefault="0077461C" w:rsidP="00825EAF">
      <w:pPr>
        <w:spacing w:line="240" w:lineRule="auto"/>
        <w:jc w:val="both"/>
      </w:pPr>
    </w:p>
    <w:p w:rsidR="0077461C" w:rsidRDefault="0077461C" w:rsidP="0028325B">
      <w:pPr>
        <w:spacing w:line="240" w:lineRule="auto"/>
        <w:jc w:val="both"/>
      </w:pPr>
      <w:r>
        <w:t>Als u belangstelling hebt om deel te nemen, raden wij u aan om achtereenvolgens te lezen:</w:t>
      </w:r>
    </w:p>
    <w:p w:rsidR="0077461C" w:rsidRPr="00262EA8" w:rsidRDefault="0077461C" w:rsidP="00825EAF">
      <w:pPr>
        <w:spacing w:line="240" w:lineRule="auto"/>
        <w:jc w:val="both"/>
      </w:pPr>
    </w:p>
    <w:p w:rsidR="0028325B" w:rsidRDefault="0077461C" w:rsidP="00C132D1">
      <w:pPr>
        <w:numPr>
          <w:ilvl w:val="0"/>
          <w:numId w:val="17"/>
        </w:numPr>
        <w:spacing w:line="240" w:lineRule="auto"/>
        <w:jc w:val="both"/>
      </w:pPr>
      <w:r>
        <w:tab/>
      </w:r>
      <w:r>
        <w:rPr>
          <w:i/>
        </w:rPr>
        <w:t>Bijlage 2 bij het bestek</w:t>
      </w:r>
      <w:r>
        <w:t xml:space="preserve">, met de </w:t>
      </w:r>
      <w:r>
        <w:rPr>
          <w:b/>
        </w:rPr>
        <w:t>functionele en technische specificaties</w:t>
      </w:r>
      <w:r>
        <w:t xml:space="preserve"> van de opdracht, en bijlage</w:t>
      </w:r>
      <w:r>
        <w:rPr>
          <w:i/>
        </w:rPr>
        <w:t xml:space="preserve"> 3 bij het bestek</w:t>
      </w:r>
      <w:r>
        <w:t xml:space="preserve">, met het financieel inschrijvingsformulier </w:t>
      </w:r>
      <w:r>
        <w:rPr>
          <w:b/>
        </w:rPr>
        <w:t>(prijzen en andere financiële voorwaarden)</w:t>
      </w:r>
      <w:r>
        <w:t>.</w:t>
      </w:r>
    </w:p>
    <w:p w:rsidR="00CD3ED8" w:rsidRPr="00262EA8" w:rsidRDefault="00CD3ED8" w:rsidP="001A76B5">
      <w:pPr>
        <w:spacing w:line="240" w:lineRule="auto"/>
        <w:jc w:val="both"/>
      </w:pPr>
    </w:p>
    <w:p w:rsidR="00814EA5" w:rsidRDefault="0028325B" w:rsidP="00C132D1">
      <w:pPr>
        <w:numPr>
          <w:ilvl w:val="0"/>
          <w:numId w:val="17"/>
        </w:numPr>
        <w:spacing w:line="240" w:lineRule="auto"/>
        <w:jc w:val="both"/>
      </w:pPr>
      <w:r>
        <w:t xml:space="preserve"> </w:t>
      </w:r>
      <w:r>
        <w:tab/>
      </w:r>
      <w:r>
        <w:rPr>
          <w:i/>
        </w:rPr>
        <w:t>De ontwerpovereenkomst</w:t>
      </w:r>
      <w:r>
        <w:t xml:space="preserve">, met bijlagen, die bijlage II van deze uitnodiging tot inschrijving vormt. De </w:t>
      </w:r>
      <w:r>
        <w:rPr>
          <w:b/>
        </w:rPr>
        <w:t>ontwerpovereenkomst</w:t>
      </w:r>
      <w:r>
        <w:t xml:space="preserve"> bepaalt de bijzondere voorwaarden en de algemene voorwaarden van de overeenkomst die aan het einde van de aanbestedingsprocedure wordt gesloten tussen de gekozen inschrijver en de aanbestedende dienst. </w:t>
      </w:r>
    </w:p>
    <w:p w:rsidR="0077461C" w:rsidRDefault="009D210D" w:rsidP="004A1132">
      <w:pPr>
        <w:spacing w:line="240" w:lineRule="auto"/>
        <w:jc w:val="both"/>
      </w:pPr>
      <w:r>
        <w:br w:type="page"/>
      </w:r>
    </w:p>
    <w:p w:rsidR="0077461C" w:rsidRDefault="0077461C" w:rsidP="00F20DE9">
      <w:pPr>
        <w:numPr>
          <w:ilvl w:val="0"/>
          <w:numId w:val="17"/>
        </w:numPr>
        <w:spacing w:line="240" w:lineRule="auto"/>
        <w:jc w:val="both"/>
      </w:pPr>
      <w:r>
        <w:tab/>
        <w:t xml:space="preserve">Vervolgens </w:t>
      </w:r>
      <w:r>
        <w:rPr>
          <w:i/>
        </w:rPr>
        <w:t xml:space="preserve">het </w:t>
      </w:r>
      <w:r>
        <w:rPr>
          <w:b/>
          <w:i/>
        </w:rPr>
        <w:t>bestek</w:t>
      </w:r>
      <w:r>
        <w:t xml:space="preserve"> in bijlage I bij deze uitnodiging tot inschrijving. Dit document bepaalt voornamelijk de criteria voor gunning van de opdracht.</w:t>
      </w:r>
    </w:p>
    <w:p w:rsidR="00335BD1" w:rsidRPr="00262EA8" w:rsidRDefault="00335BD1" w:rsidP="004A1132">
      <w:pPr>
        <w:spacing w:line="240" w:lineRule="auto"/>
        <w:jc w:val="both"/>
      </w:pPr>
    </w:p>
    <w:p w:rsidR="0077461C" w:rsidRDefault="00335BD1" w:rsidP="004A1132">
      <w:pPr>
        <w:numPr>
          <w:ilvl w:val="0"/>
          <w:numId w:val="17"/>
        </w:numPr>
        <w:spacing w:line="240" w:lineRule="auto"/>
        <w:jc w:val="both"/>
        <w:rPr>
          <w:i/>
          <w:iCs/>
        </w:rPr>
      </w:pPr>
      <w:r>
        <w:tab/>
        <w:t xml:space="preserve">De procedure voor het opstellen, presenteren en verzenden van uw offerte vindt u op de volgende bladzijden van deze </w:t>
      </w:r>
      <w:r>
        <w:rPr>
          <w:b/>
          <w:i/>
        </w:rPr>
        <w:t>uitnodiging tot inschrijving.</w:t>
      </w:r>
    </w:p>
    <w:p w:rsidR="009D210D" w:rsidRPr="00262EA8" w:rsidRDefault="009D210D" w:rsidP="009D210D">
      <w:pPr>
        <w:spacing w:line="240" w:lineRule="auto"/>
        <w:ind w:left="720"/>
        <w:jc w:val="both"/>
        <w:rPr>
          <w:i/>
          <w:iCs/>
        </w:rPr>
      </w:pPr>
    </w:p>
    <w:p w:rsidR="00814EA5" w:rsidRPr="00781A63" w:rsidRDefault="009D210D" w:rsidP="00F16718">
      <w:pPr>
        <w:spacing w:line="240" w:lineRule="auto"/>
        <w:ind w:left="720"/>
        <w:jc w:val="both"/>
        <w:rPr>
          <w:b/>
          <w:bCs/>
          <w:vanish/>
          <w:sz w:val="28"/>
          <w:szCs w:val="28"/>
          <w:u w:val="single"/>
          <w:bdr w:val="single" w:sz="4" w:space="0" w:color="auto"/>
          <w:specVanish/>
        </w:rPr>
      </w:pPr>
      <w:r>
        <w:br w:type="page"/>
      </w:r>
      <w:r>
        <w:rPr>
          <w:b/>
          <w:bCs/>
          <w:sz w:val="28"/>
          <w:szCs w:val="28"/>
          <w:u w:val="single"/>
          <w:bdr w:val="single" w:sz="4" w:space="0" w:color="auto"/>
        </w:rPr>
        <w:lastRenderedPageBreak/>
        <w:t>INHOUD</w:t>
      </w:r>
    </w:p>
    <w:p w:rsidR="00072241" w:rsidRDefault="00781A63">
      <w:pPr>
        <w:pStyle w:val="TOC1"/>
        <w:rPr>
          <w:b/>
          <w:bCs/>
          <w:sz w:val="28"/>
          <w:szCs w:val="28"/>
          <w:u w:val="single"/>
          <w:bdr w:val="single" w:sz="4" w:space="0" w:color="auto"/>
        </w:rPr>
      </w:pPr>
      <w:r>
        <w:rPr>
          <w:b/>
          <w:bCs/>
          <w:sz w:val="28"/>
          <w:szCs w:val="28"/>
          <w:u w:val="single"/>
          <w:bdr w:val="single" w:sz="4" w:space="0" w:color="auto"/>
        </w:rPr>
        <w:t xml:space="preserve"> </w:t>
      </w:r>
    </w:p>
    <w:p w:rsidR="005255AC" w:rsidRDefault="00814EA5">
      <w:pPr>
        <w:pStyle w:val="TOC1"/>
        <w:rPr>
          <w:rFonts w:asciiTheme="minorHAnsi" w:eastAsiaTheme="minorEastAsia" w:hAnsiTheme="minorHAnsi" w:cstheme="minorBidi"/>
          <w:noProof/>
          <w:sz w:val="22"/>
          <w:szCs w:val="22"/>
          <w:lang w:val="en-GB" w:eastAsia="en-GB"/>
        </w:rPr>
      </w:pPr>
      <w:r>
        <w:rPr>
          <w:b/>
          <w:bCs/>
          <w:sz w:val="28"/>
          <w:szCs w:val="28"/>
          <w:u w:val="single"/>
          <w:bdr w:val="single" w:sz="4" w:space="0" w:color="auto"/>
        </w:rPr>
        <w:fldChar w:fldCharType="begin"/>
      </w:r>
      <w:r w:rsidRPr="00360EA6">
        <w:rPr>
          <w:b/>
          <w:bCs/>
          <w:sz w:val="28"/>
          <w:szCs w:val="28"/>
          <w:u w:val="single"/>
          <w:bdr w:val="single" w:sz="4" w:space="0" w:color="auto"/>
        </w:rPr>
        <w:instrText xml:space="preserve"> TOC \o "1-5" \h \z \u </w:instrText>
      </w:r>
      <w:r>
        <w:rPr>
          <w:b/>
          <w:bCs/>
          <w:sz w:val="28"/>
          <w:szCs w:val="28"/>
          <w:u w:val="single"/>
          <w:bdr w:val="single" w:sz="4" w:space="0" w:color="auto"/>
        </w:rPr>
        <w:fldChar w:fldCharType="separate"/>
      </w:r>
      <w:hyperlink w:anchor="_Toc459787951" w:history="1">
        <w:r w:rsidR="005255AC" w:rsidRPr="004243C1">
          <w:rPr>
            <w:rStyle w:val="Hyperlink"/>
            <w:noProof/>
          </w:rPr>
          <w:t>I.</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Indiening van de offertes</w:t>
        </w:r>
        <w:r w:rsidR="005255AC">
          <w:rPr>
            <w:noProof/>
            <w:webHidden/>
          </w:rPr>
          <w:tab/>
        </w:r>
        <w:r w:rsidR="005255AC">
          <w:rPr>
            <w:noProof/>
            <w:webHidden/>
          </w:rPr>
          <w:fldChar w:fldCharType="begin"/>
        </w:r>
        <w:r w:rsidR="005255AC">
          <w:rPr>
            <w:noProof/>
            <w:webHidden/>
          </w:rPr>
          <w:instrText xml:space="preserve"> PAGEREF _Toc459787951 \h </w:instrText>
        </w:r>
        <w:r w:rsidR="005255AC">
          <w:rPr>
            <w:noProof/>
            <w:webHidden/>
          </w:rPr>
        </w:r>
        <w:r w:rsidR="005255AC">
          <w:rPr>
            <w:noProof/>
            <w:webHidden/>
          </w:rPr>
          <w:fldChar w:fldCharType="separate"/>
        </w:r>
        <w:r w:rsidR="005255AC">
          <w:rPr>
            <w:noProof/>
            <w:webHidden/>
          </w:rPr>
          <w:t>4</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52" w:history="1">
        <w:r w:rsidR="005255AC" w:rsidRPr="004243C1">
          <w:rPr>
            <w:rStyle w:val="Hyperlink"/>
            <w:noProof/>
          </w:rPr>
          <w:t>1.</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Samenstelling van de offertes</w:t>
        </w:r>
        <w:r w:rsidR="005255AC">
          <w:rPr>
            <w:noProof/>
            <w:webHidden/>
          </w:rPr>
          <w:tab/>
        </w:r>
        <w:r w:rsidR="005255AC">
          <w:rPr>
            <w:noProof/>
            <w:webHidden/>
          </w:rPr>
          <w:fldChar w:fldCharType="begin"/>
        </w:r>
        <w:r w:rsidR="005255AC">
          <w:rPr>
            <w:noProof/>
            <w:webHidden/>
          </w:rPr>
          <w:instrText xml:space="preserve"> PAGEREF _Toc459787952 \h </w:instrText>
        </w:r>
        <w:r w:rsidR="005255AC">
          <w:rPr>
            <w:noProof/>
            <w:webHidden/>
          </w:rPr>
        </w:r>
        <w:r w:rsidR="005255AC">
          <w:rPr>
            <w:noProof/>
            <w:webHidden/>
          </w:rPr>
          <w:fldChar w:fldCharType="separate"/>
        </w:r>
        <w:r w:rsidR="005255AC">
          <w:rPr>
            <w:noProof/>
            <w:webHidden/>
          </w:rPr>
          <w:t>4</w:t>
        </w:r>
        <w:r w:rsidR="005255AC">
          <w:rPr>
            <w:noProof/>
            <w:webHidden/>
          </w:rPr>
          <w:fldChar w:fldCharType="end"/>
        </w:r>
      </w:hyperlink>
    </w:p>
    <w:p w:rsidR="005255AC" w:rsidRDefault="00AB6290">
      <w:pPr>
        <w:pStyle w:val="TOC3"/>
        <w:rPr>
          <w:rFonts w:asciiTheme="minorHAnsi" w:eastAsiaTheme="minorEastAsia" w:hAnsiTheme="minorHAnsi" w:cstheme="minorBidi"/>
          <w:noProof/>
          <w:sz w:val="22"/>
          <w:szCs w:val="22"/>
          <w:lang w:val="en-GB" w:eastAsia="en-GB"/>
        </w:rPr>
      </w:pPr>
      <w:hyperlink w:anchor="_Toc459787953" w:history="1">
        <w:r w:rsidR="005255AC" w:rsidRPr="004243C1">
          <w:rPr>
            <w:rStyle w:val="Hyperlink"/>
            <w:b/>
            <w:noProof/>
          </w:rPr>
          <w:t>1.1</w:t>
        </w:r>
        <w:r w:rsidR="005255AC" w:rsidRPr="004243C1">
          <w:rPr>
            <w:rStyle w:val="Hyperlink"/>
            <w:noProof/>
          </w:rPr>
          <w:t>.</w:t>
        </w:r>
        <w:r w:rsidR="005255AC">
          <w:rPr>
            <w:rFonts w:asciiTheme="minorHAnsi" w:eastAsiaTheme="minorEastAsia" w:hAnsiTheme="minorHAnsi" w:cstheme="minorBidi"/>
            <w:noProof/>
            <w:sz w:val="22"/>
            <w:szCs w:val="22"/>
            <w:lang w:val="en-GB" w:eastAsia="en-GB"/>
          </w:rPr>
          <w:tab/>
        </w:r>
        <w:r w:rsidR="005255AC" w:rsidRPr="004243C1">
          <w:rPr>
            <w:rStyle w:val="Hyperlink"/>
            <w:b/>
            <w:noProof/>
          </w:rPr>
          <w:t>Begeleidende brief - index</w:t>
        </w:r>
        <w:r w:rsidR="005255AC">
          <w:rPr>
            <w:noProof/>
            <w:webHidden/>
          </w:rPr>
          <w:tab/>
        </w:r>
        <w:r w:rsidR="005255AC">
          <w:rPr>
            <w:noProof/>
            <w:webHidden/>
          </w:rPr>
          <w:fldChar w:fldCharType="begin"/>
        </w:r>
        <w:r w:rsidR="005255AC">
          <w:rPr>
            <w:noProof/>
            <w:webHidden/>
          </w:rPr>
          <w:instrText xml:space="preserve"> PAGEREF _Toc459787953 \h </w:instrText>
        </w:r>
        <w:r w:rsidR="005255AC">
          <w:rPr>
            <w:noProof/>
            <w:webHidden/>
          </w:rPr>
        </w:r>
        <w:r w:rsidR="005255AC">
          <w:rPr>
            <w:noProof/>
            <w:webHidden/>
          </w:rPr>
          <w:fldChar w:fldCharType="separate"/>
        </w:r>
        <w:r w:rsidR="005255AC">
          <w:rPr>
            <w:noProof/>
            <w:webHidden/>
          </w:rPr>
          <w:t>4</w:t>
        </w:r>
        <w:r w:rsidR="005255AC">
          <w:rPr>
            <w:noProof/>
            <w:webHidden/>
          </w:rPr>
          <w:fldChar w:fldCharType="end"/>
        </w:r>
      </w:hyperlink>
    </w:p>
    <w:p w:rsidR="005255AC" w:rsidRDefault="00AB6290">
      <w:pPr>
        <w:pStyle w:val="TOC3"/>
        <w:rPr>
          <w:rFonts w:asciiTheme="minorHAnsi" w:eastAsiaTheme="minorEastAsia" w:hAnsiTheme="minorHAnsi" w:cstheme="minorBidi"/>
          <w:noProof/>
          <w:sz w:val="22"/>
          <w:szCs w:val="22"/>
          <w:lang w:val="en-GB" w:eastAsia="en-GB"/>
        </w:rPr>
      </w:pPr>
      <w:hyperlink w:anchor="_Toc459787954" w:history="1">
        <w:r w:rsidR="005255AC" w:rsidRPr="004243C1">
          <w:rPr>
            <w:rStyle w:val="Hyperlink"/>
            <w:b/>
            <w:noProof/>
          </w:rPr>
          <w:t>1.2.</w:t>
        </w:r>
        <w:r w:rsidR="005255AC">
          <w:rPr>
            <w:rFonts w:asciiTheme="minorHAnsi" w:eastAsiaTheme="minorEastAsia" w:hAnsiTheme="minorHAnsi" w:cstheme="minorBidi"/>
            <w:noProof/>
            <w:sz w:val="22"/>
            <w:szCs w:val="22"/>
            <w:lang w:val="en-GB" w:eastAsia="en-GB"/>
          </w:rPr>
          <w:tab/>
        </w:r>
        <w:r w:rsidR="005255AC" w:rsidRPr="004243C1">
          <w:rPr>
            <w:rStyle w:val="Hyperlink"/>
            <w:b/>
            <w:noProof/>
          </w:rPr>
          <w:t>Deelnemingsvoorwaarden</w:t>
        </w:r>
        <w:r w:rsidR="005255AC">
          <w:rPr>
            <w:noProof/>
            <w:webHidden/>
          </w:rPr>
          <w:tab/>
        </w:r>
        <w:r w:rsidR="005255AC">
          <w:rPr>
            <w:noProof/>
            <w:webHidden/>
          </w:rPr>
          <w:fldChar w:fldCharType="begin"/>
        </w:r>
        <w:r w:rsidR="005255AC">
          <w:rPr>
            <w:noProof/>
            <w:webHidden/>
          </w:rPr>
          <w:instrText xml:space="preserve"> PAGEREF _Toc459787954 \h </w:instrText>
        </w:r>
        <w:r w:rsidR="005255AC">
          <w:rPr>
            <w:noProof/>
            <w:webHidden/>
          </w:rPr>
        </w:r>
        <w:r w:rsidR="005255AC">
          <w:rPr>
            <w:noProof/>
            <w:webHidden/>
          </w:rPr>
          <w:fldChar w:fldCharType="separate"/>
        </w:r>
        <w:r w:rsidR="005255AC">
          <w:rPr>
            <w:noProof/>
            <w:webHidden/>
          </w:rPr>
          <w:t>4</w:t>
        </w:r>
        <w:r w:rsidR="005255AC">
          <w:rPr>
            <w:noProof/>
            <w:webHidden/>
          </w:rPr>
          <w:fldChar w:fldCharType="end"/>
        </w:r>
      </w:hyperlink>
    </w:p>
    <w:p w:rsidR="005255AC" w:rsidRDefault="00AB6290">
      <w:pPr>
        <w:pStyle w:val="TOC3"/>
        <w:rPr>
          <w:rFonts w:asciiTheme="minorHAnsi" w:eastAsiaTheme="minorEastAsia" w:hAnsiTheme="minorHAnsi" w:cstheme="minorBidi"/>
          <w:noProof/>
          <w:sz w:val="22"/>
          <w:szCs w:val="22"/>
          <w:lang w:val="en-GB" w:eastAsia="en-GB"/>
        </w:rPr>
      </w:pPr>
      <w:hyperlink w:anchor="_Toc459787955" w:history="1">
        <w:r w:rsidR="005255AC" w:rsidRPr="004243C1">
          <w:rPr>
            <w:rStyle w:val="Hyperlink"/>
            <w:b/>
            <w:noProof/>
          </w:rPr>
          <w:t>1.3.</w:t>
        </w:r>
        <w:r w:rsidR="005255AC">
          <w:rPr>
            <w:rFonts w:asciiTheme="minorHAnsi" w:eastAsiaTheme="minorEastAsia" w:hAnsiTheme="minorHAnsi" w:cstheme="minorBidi"/>
            <w:noProof/>
            <w:sz w:val="22"/>
            <w:szCs w:val="22"/>
            <w:lang w:val="en-GB" w:eastAsia="en-GB"/>
          </w:rPr>
          <w:tab/>
        </w:r>
        <w:r w:rsidR="005255AC" w:rsidRPr="004243C1">
          <w:rPr>
            <w:rStyle w:val="Hyperlink"/>
            <w:b/>
            <w:noProof/>
          </w:rPr>
          <w:t>Technische offerte</w:t>
        </w:r>
        <w:r w:rsidR="005255AC">
          <w:rPr>
            <w:noProof/>
            <w:webHidden/>
          </w:rPr>
          <w:tab/>
        </w:r>
        <w:r w:rsidR="005255AC">
          <w:rPr>
            <w:noProof/>
            <w:webHidden/>
          </w:rPr>
          <w:fldChar w:fldCharType="begin"/>
        </w:r>
        <w:r w:rsidR="005255AC">
          <w:rPr>
            <w:noProof/>
            <w:webHidden/>
          </w:rPr>
          <w:instrText xml:space="preserve"> PAGEREF _Toc459787955 \h </w:instrText>
        </w:r>
        <w:r w:rsidR="005255AC">
          <w:rPr>
            <w:noProof/>
            <w:webHidden/>
          </w:rPr>
        </w:r>
        <w:r w:rsidR="005255AC">
          <w:rPr>
            <w:noProof/>
            <w:webHidden/>
          </w:rPr>
          <w:fldChar w:fldCharType="separate"/>
        </w:r>
        <w:r w:rsidR="005255AC">
          <w:rPr>
            <w:noProof/>
            <w:webHidden/>
          </w:rPr>
          <w:t>6</w:t>
        </w:r>
        <w:r w:rsidR="005255AC">
          <w:rPr>
            <w:noProof/>
            <w:webHidden/>
          </w:rPr>
          <w:fldChar w:fldCharType="end"/>
        </w:r>
      </w:hyperlink>
    </w:p>
    <w:p w:rsidR="005255AC" w:rsidRDefault="00AB6290">
      <w:pPr>
        <w:pStyle w:val="TOC3"/>
        <w:rPr>
          <w:rFonts w:asciiTheme="minorHAnsi" w:eastAsiaTheme="minorEastAsia" w:hAnsiTheme="minorHAnsi" w:cstheme="minorBidi"/>
          <w:noProof/>
          <w:sz w:val="22"/>
          <w:szCs w:val="22"/>
          <w:lang w:val="en-GB" w:eastAsia="en-GB"/>
        </w:rPr>
      </w:pPr>
      <w:hyperlink w:anchor="_Toc459787956" w:history="1">
        <w:r w:rsidR="005255AC" w:rsidRPr="004243C1">
          <w:rPr>
            <w:rStyle w:val="Hyperlink"/>
            <w:b/>
            <w:noProof/>
          </w:rPr>
          <w:t>1.3.</w:t>
        </w:r>
        <w:r w:rsidR="005255AC">
          <w:rPr>
            <w:rFonts w:asciiTheme="minorHAnsi" w:eastAsiaTheme="minorEastAsia" w:hAnsiTheme="minorHAnsi" w:cstheme="minorBidi"/>
            <w:noProof/>
            <w:sz w:val="22"/>
            <w:szCs w:val="22"/>
            <w:lang w:val="en-GB" w:eastAsia="en-GB"/>
          </w:rPr>
          <w:tab/>
        </w:r>
        <w:r w:rsidR="005255AC" w:rsidRPr="004243C1">
          <w:rPr>
            <w:rStyle w:val="Hyperlink"/>
            <w:b/>
            <w:noProof/>
          </w:rPr>
          <w:t>Financiële offerte</w:t>
        </w:r>
        <w:r w:rsidR="005255AC">
          <w:rPr>
            <w:noProof/>
            <w:webHidden/>
          </w:rPr>
          <w:tab/>
        </w:r>
        <w:r w:rsidR="005255AC">
          <w:rPr>
            <w:noProof/>
            <w:webHidden/>
          </w:rPr>
          <w:fldChar w:fldCharType="begin"/>
        </w:r>
        <w:r w:rsidR="005255AC">
          <w:rPr>
            <w:noProof/>
            <w:webHidden/>
          </w:rPr>
          <w:instrText xml:space="preserve"> PAGEREF _Toc459787956 \h </w:instrText>
        </w:r>
        <w:r w:rsidR="005255AC">
          <w:rPr>
            <w:noProof/>
            <w:webHidden/>
          </w:rPr>
        </w:r>
        <w:r w:rsidR="005255AC">
          <w:rPr>
            <w:noProof/>
            <w:webHidden/>
          </w:rPr>
          <w:fldChar w:fldCharType="separate"/>
        </w:r>
        <w:r w:rsidR="005255AC">
          <w:rPr>
            <w:noProof/>
            <w:webHidden/>
          </w:rPr>
          <w:t>7</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57" w:history="1">
        <w:r w:rsidR="005255AC" w:rsidRPr="004243C1">
          <w:rPr>
            <w:rStyle w:val="Hyperlink"/>
            <w:noProof/>
          </w:rPr>
          <w:t>2.</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Talen</w:t>
        </w:r>
        <w:r w:rsidR="005255AC">
          <w:rPr>
            <w:noProof/>
            <w:webHidden/>
          </w:rPr>
          <w:tab/>
        </w:r>
        <w:r w:rsidR="005255AC">
          <w:rPr>
            <w:noProof/>
            <w:webHidden/>
          </w:rPr>
          <w:fldChar w:fldCharType="begin"/>
        </w:r>
        <w:r w:rsidR="005255AC">
          <w:rPr>
            <w:noProof/>
            <w:webHidden/>
          </w:rPr>
          <w:instrText xml:space="preserve"> PAGEREF _Toc459787957 \h </w:instrText>
        </w:r>
        <w:r w:rsidR="005255AC">
          <w:rPr>
            <w:noProof/>
            <w:webHidden/>
          </w:rPr>
        </w:r>
        <w:r w:rsidR="005255AC">
          <w:rPr>
            <w:noProof/>
            <w:webHidden/>
          </w:rPr>
          <w:fldChar w:fldCharType="separate"/>
        </w:r>
        <w:r w:rsidR="005255AC">
          <w:rPr>
            <w:noProof/>
            <w:webHidden/>
          </w:rPr>
          <w:t>7</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58" w:history="1">
        <w:r w:rsidR="005255AC" w:rsidRPr="004243C1">
          <w:rPr>
            <w:rStyle w:val="Hyperlink"/>
            <w:noProof/>
          </w:rPr>
          <w:t>3.</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Aantal exemplaren en formaat:</w:t>
        </w:r>
        <w:r w:rsidR="005255AC">
          <w:rPr>
            <w:noProof/>
            <w:webHidden/>
          </w:rPr>
          <w:tab/>
        </w:r>
        <w:r w:rsidR="005255AC">
          <w:rPr>
            <w:noProof/>
            <w:webHidden/>
          </w:rPr>
          <w:fldChar w:fldCharType="begin"/>
        </w:r>
        <w:r w:rsidR="005255AC">
          <w:rPr>
            <w:noProof/>
            <w:webHidden/>
          </w:rPr>
          <w:instrText xml:space="preserve"> PAGEREF _Toc459787958 \h </w:instrText>
        </w:r>
        <w:r w:rsidR="005255AC">
          <w:rPr>
            <w:noProof/>
            <w:webHidden/>
          </w:rPr>
        </w:r>
        <w:r w:rsidR="005255AC">
          <w:rPr>
            <w:noProof/>
            <w:webHidden/>
          </w:rPr>
          <w:fldChar w:fldCharType="separate"/>
        </w:r>
        <w:r w:rsidR="005255AC">
          <w:rPr>
            <w:noProof/>
            <w:webHidden/>
          </w:rPr>
          <w:t>8</w:t>
        </w:r>
        <w:r w:rsidR="005255AC">
          <w:rPr>
            <w:noProof/>
            <w:webHidden/>
          </w:rPr>
          <w:fldChar w:fldCharType="end"/>
        </w:r>
      </w:hyperlink>
    </w:p>
    <w:p w:rsidR="005255AC" w:rsidRDefault="00AB6290">
      <w:pPr>
        <w:pStyle w:val="TOC1"/>
        <w:rPr>
          <w:rFonts w:asciiTheme="minorHAnsi" w:eastAsiaTheme="minorEastAsia" w:hAnsiTheme="minorHAnsi" w:cstheme="minorBidi"/>
          <w:noProof/>
          <w:sz w:val="22"/>
          <w:szCs w:val="22"/>
          <w:lang w:val="en-GB" w:eastAsia="en-GB"/>
        </w:rPr>
      </w:pPr>
      <w:hyperlink w:anchor="_Toc459787959" w:history="1">
        <w:r w:rsidR="005255AC" w:rsidRPr="004243C1">
          <w:rPr>
            <w:rStyle w:val="Hyperlink"/>
            <w:noProof/>
          </w:rPr>
          <w:t>II.</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Toezending van de offertes</w:t>
        </w:r>
        <w:r w:rsidR="005255AC">
          <w:rPr>
            <w:noProof/>
            <w:webHidden/>
          </w:rPr>
          <w:tab/>
        </w:r>
        <w:r w:rsidR="005255AC">
          <w:rPr>
            <w:noProof/>
            <w:webHidden/>
          </w:rPr>
          <w:fldChar w:fldCharType="begin"/>
        </w:r>
        <w:r w:rsidR="005255AC">
          <w:rPr>
            <w:noProof/>
            <w:webHidden/>
          </w:rPr>
          <w:instrText xml:space="preserve"> PAGEREF _Toc459787959 \h </w:instrText>
        </w:r>
        <w:r w:rsidR="005255AC">
          <w:rPr>
            <w:noProof/>
            <w:webHidden/>
          </w:rPr>
        </w:r>
        <w:r w:rsidR="005255AC">
          <w:rPr>
            <w:noProof/>
            <w:webHidden/>
          </w:rPr>
          <w:fldChar w:fldCharType="separate"/>
        </w:r>
        <w:r w:rsidR="005255AC">
          <w:rPr>
            <w:noProof/>
            <w:webHidden/>
          </w:rPr>
          <w:t>8</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0" w:history="1">
        <w:r w:rsidR="005255AC" w:rsidRPr="004243C1">
          <w:rPr>
            <w:rStyle w:val="Hyperlink"/>
            <w:noProof/>
          </w:rPr>
          <w:t>1.</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Verzending / afgifte van de offertes</w:t>
        </w:r>
        <w:r w:rsidR="005255AC">
          <w:rPr>
            <w:noProof/>
            <w:webHidden/>
          </w:rPr>
          <w:tab/>
        </w:r>
        <w:r w:rsidR="005255AC">
          <w:rPr>
            <w:noProof/>
            <w:webHidden/>
          </w:rPr>
          <w:fldChar w:fldCharType="begin"/>
        </w:r>
        <w:r w:rsidR="005255AC">
          <w:rPr>
            <w:noProof/>
            <w:webHidden/>
          </w:rPr>
          <w:instrText xml:space="preserve"> PAGEREF _Toc459787960 \h </w:instrText>
        </w:r>
        <w:r w:rsidR="005255AC">
          <w:rPr>
            <w:noProof/>
            <w:webHidden/>
          </w:rPr>
        </w:r>
        <w:r w:rsidR="005255AC">
          <w:rPr>
            <w:noProof/>
            <w:webHidden/>
          </w:rPr>
          <w:fldChar w:fldCharType="separate"/>
        </w:r>
        <w:r w:rsidR="005255AC">
          <w:rPr>
            <w:noProof/>
            <w:webHidden/>
          </w:rPr>
          <w:t>8</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1" w:history="1">
        <w:r w:rsidR="005255AC" w:rsidRPr="004243C1">
          <w:rPr>
            <w:rStyle w:val="Hyperlink"/>
            <w:noProof/>
          </w:rPr>
          <w:t>1.1. Per post</w:t>
        </w:r>
        <w:r w:rsidR="005255AC">
          <w:rPr>
            <w:noProof/>
            <w:webHidden/>
          </w:rPr>
          <w:tab/>
        </w:r>
        <w:r w:rsidR="005255AC">
          <w:rPr>
            <w:noProof/>
            <w:webHidden/>
          </w:rPr>
          <w:fldChar w:fldCharType="begin"/>
        </w:r>
        <w:r w:rsidR="005255AC">
          <w:rPr>
            <w:noProof/>
            <w:webHidden/>
          </w:rPr>
          <w:instrText xml:space="preserve"> PAGEREF _Toc459787961 \h </w:instrText>
        </w:r>
        <w:r w:rsidR="005255AC">
          <w:rPr>
            <w:noProof/>
            <w:webHidden/>
          </w:rPr>
        </w:r>
        <w:r w:rsidR="005255AC">
          <w:rPr>
            <w:noProof/>
            <w:webHidden/>
          </w:rPr>
          <w:fldChar w:fldCharType="separate"/>
        </w:r>
        <w:r w:rsidR="005255AC">
          <w:rPr>
            <w:noProof/>
            <w:webHidden/>
          </w:rPr>
          <w:t>8</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2" w:history="1">
        <w:r w:rsidR="005255AC" w:rsidRPr="004243C1">
          <w:rPr>
            <w:rStyle w:val="Hyperlink"/>
            <w:noProof/>
          </w:rPr>
          <w:t>1.2 Afgifte</w:t>
        </w:r>
        <w:r w:rsidR="005255AC">
          <w:rPr>
            <w:noProof/>
            <w:webHidden/>
          </w:rPr>
          <w:tab/>
        </w:r>
        <w:r w:rsidR="005255AC">
          <w:rPr>
            <w:noProof/>
            <w:webHidden/>
          </w:rPr>
          <w:fldChar w:fldCharType="begin"/>
        </w:r>
        <w:r w:rsidR="005255AC">
          <w:rPr>
            <w:noProof/>
            <w:webHidden/>
          </w:rPr>
          <w:instrText xml:space="preserve"> PAGEREF _Toc459787962 \h </w:instrText>
        </w:r>
        <w:r w:rsidR="005255AC">
          <w:rPr>
            <w:noProof/>
            <w:webHidden/>
          </w:rPr>
        </w:r>
        <w:r w:rsidR="005255AC">
          <w:rPr>
            <w:noProof/>
            <w:webHidden/>
          </w:rPr>
          <w:fldChar w:fldCharType="separate"/>
        </w:r>
        <w:r w:rsidR="005255AC">
          <w:rPr>
            <w:noProof/>
            <w:webHidden/>
          </w:rPr>
          <w:t>9</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3" w:history="1">
        <w:r w:rsidR="005255AC" w:rsidRPr="004243C1">
          <w:rPr>
            <w:rStyle w:val="Hyperlink"/>
            <w:noProof/>
          </w:rPr>
          <w:t>2.</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Verpakking van de offerte</w:t>
        </w:r>
        <w:r w:rsidR="005255AC">
          <w:rPr>
            <w:noProof/>
            <w:webHidden/>
          </w:rPr>
          <w:tab/>
        </w:r>
        <w:r w:rsidR="005255AC">
          <w:rPr>
            <w:noProof/>
            <w:webHidden/>
          </w:rPr>
          <w:fldChar w:fldCharType="begin"/>
        </w:r>
        <w:r w:rsidR="005255AC">
          <w:rPr>
            <w:noProof/>
            <w:webHidden/>
          </w:rPr>
          <w:instrText xml:space="preserve"> PAGEREF _Toc459787963 \h </w:instrText>
        </w:r>
        <w:r w:rsidR="005255AC">
          <w:rPr>
            <w:noProof/>
            <w:webHidden/>
          </w:rPr>
        </w:r>
        <w:r w:rsidR="005255AC">
          <w:rPr>
            <w:noProof/>
            <w:webHidden/>
          </w:rPr>
          <w:fldChar w:fldCharType="separate"/>
        </w:r>
        <w:r w:rsidR="005255AC">
          <w:rPr>
            <w:noProof/>
            <w:webHidden/>
          </w:rPr>
          <w:t>9</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4" w:history="1">
        <w:r w:rsidR="005255AC" w:rsidRPr="004243C1">
          <w:rPr>
            <w:rStyle w:val="Hyperlink"/>
            <w:noProof/>
          </w:rPr>
          <w:t>3.</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Elektronische verzending</w:t>
        </w:r>
        <w:r w:rsidR="005255AC">
          <w:rPr>
            <w:noProof/>
            <w:webHidden/>
          </w:rPr>
          <w:tab/>
        </w:r>
        <w:r w:rsidR="005255AC">
          <w:rPr>
            <w:noProof/>
            <w:webHidden/>
          </w:rPr>
          <w:fldChar w:fldCharType="begin"/>
        </w:r>
        <w:r w:rsidR="005255AC">
          <w:rPr>
            <w:noProof/>
            <w:webHidden/>
          </w:rPr>
          <w:instrText xml:space="preserve"> PAGEREF _Toc459787964 \h </w:instrText>
        </w:r>
        <w:r w:rsidR="005255AC">
          <w:rPr>
            <w:noProof/>
            <w:webHidden/>
          </w:rPr>
        </w:r>
        <w:r w:rsidR="005255AC">
          <w:rPr>
            <w:noProof/>
            <w:webHidden/>
          </w:rPr>
          <w:fldChar w:fldCharType="separate"/>
        </w:r>
        <w:r w:rsidR="005255AC">
          <w:rPr>
            <w:noProof/>
            <w:webHidden/>
          </w:rPr>
          <w:t>10</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5" w:history="1">
        <w:r w:rsidR="005255AC" w:rsidRPr="004243C1">
          <w:rPr>
            <w:rStyle w:val="Hyperlink"/>
            <w:noProof/>
          </w:rPr>
          <w:t>4.</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Niet-conformiteit</w:t>
        </w:r>
        <w:r w:rsidR="005255AC">
          <w:rPr>
            <w:noProof/>
            <w:webHidden/>
          </w:rPr>
          <w:tab/>
        </w:r>
        <w:r w:rsidR="005255AC">
          <w:rPr>
            <w:noProof/>
            <w:webHidden/>
          </w:rPr>
          <w:fldChar w:fldCharType="begin"/>
        </w:r>
        <w:r w:rsidR="005255AC">
          <w:rPr>
            <w:noProof/>
            <w:webHidden/>
          </w:rPr>
          <w:instrText xml:space="preserve"> PAGEREF _Toc459787965 \h </w:instrText>
        </w:r>
        <w:r w:rsidR="005255AC">
          <w:rPr>
            <w:noProof/>
            <w:webHidden/>
          </w:rPr>
        </w:r>
        <w:r w:rsidR="005255AC">
          <w:rPr>
            <w:noProof/>
            <w:webHidden/>
          </w:rPr>
          <w:fldChar w:fldCharType="separate"/>
        </w:r>
        <w:r w:rsidR="005255AC">
          <w:rPr>
            <w:noProof/>
            <w:webHidden/>
          </w:rPr>
          <w:t>10</w:t>
        </w:r>
        <w:r w:rsidR="005255AC">
          <w:rPr>
            <w:noProof/>
            <w:webHidden/>
          </w:rPr>
          <w:fldChar w:fldCharType="end"/>
        </w:r>
      </w:hyperlink>
    </w:p>
    <w:p w:rsidR="005255AC" w:rsidRDefault="00AB6290">
      <w:pPr>
        <w:pStyle w:val="TOC1"/>
        <w:rPr>
          <w:rFonts w:asciiTheme="minorHAnsi" w:eastAsiaTheme="minorEastAsia" w:hAnsiTheme="minorHAnsi" w:cstheme="minorBidi"/>
          <w:noProof/>
          <w:sz w:val="22"/>
          <w:szCs w:val="22"/>
          <w:lang w:val="en-GB" w:eastAsia="en-GB"/>
        </w:rPr>
      </w:pPr>
      <w:hyperlink w:anchor="_Toc459787966" w:history="1">
        <w:r w:rsidR="005255AC" w:rsidRPr="004243C1">
          <w:rPr>
            <w:rStyle w:val="Hyperlink"/>
            <w:noProof/>
          </w:rPr>
          <w:t>III.</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Geldigheidsduur van de offertes</w:t>
        </w:r>
        <w:r w:rsidR="005255AC">
          <w:rPr>
            <w:noProof/>
            <w:webHidden/>
          </w:rPr>
          <w:tab/>
        </w:r>
        <w:r w:rsidR="005255AC">
          <w:rPr>
            <w:noProof/>
            <w:webHidden/>
          </w:rPr>
          <w:fldChar w:fldCharType="begin"/>
        </w:r>
        <w:r w:rsidR="005255AC">
          <w:rPr>
            <w:noProof/>
            <w:webHidden/>
          </w:rPr>
          <w:instrText xml:space="preserve"> PAGEREF _Toc459787966 \h </w:instrText>
        </w:r>
        <w:r w:rsidR="005255AC">
          <w:rPr>
            <w:noProof/>
            <w:webHidden/>
          </w:rPr>
        </w:r>
        <w:r w:rsidR="005255AC">
          <w:rPr>
            <w:noProof/>
            <w:webHidden/>
          </w:rPr>
          <w:fldChar w:fldCharType="separate"/>
        </w:r>
        <w:r w:rsidR="005255AC">
          <w:rPr>
            <w:noProof/>
            <w:webHidden/>
          </w:rPr>
          <w:t>10</w:t>
        </w:r>
        <w:r w:rsidR="005255AC">
          <w:rPr>
            <w:noProof/>
            <w:webHidden/>
          </w:rPr>
          <w:fldChar w:fldCharType="end"/>
        </w:r>
      </w:hyperlink>
    </w:p>
    <w:p w:rsidR="005255AC" w:rsidRDefault="00AB6290">
      <w:pPr>
        <w:pStyle w:val="TOC1"/>
        <w:rPr>
          <w:rFonts w:asciiTheme="minorHAnsi" w:eastAsiaTheme="minorEastAsia" w:hAnsiTheme="minorHAnsi" w:cstheme="minorBidi"/>
          <w:noProof/>
          <w:sz w:val="22"/>
          <w:szCs w:val="22"/>
          <w:lang w:val="en-GB" w:eastAsia="en-GB"/>
        </w:rPr>
      </w:pPr>
      <w:hyperlink w:anchor="_Toc459787967" w:history="1">
        <w:r w:rsidR="005255AC" w:rsidRPr="004243C1">
          <w:rPr>
            <w:rStyle w:val="Hyperlink"/>
            <w:noProof/>
          </w:rPr>
          <w:t>IV.</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Verbintenissen</w:t>
        </w:r>
        <w:r w:rsidR="005255AC">
          <w:rPr>
            <w:noProof/>
            <w:webHidden/>
          </w:rPr>
          <w:tab/>
        </w:r>
        <w:r w:rsidR="005255AC">
          <w:rPr>
            <w:noProof/>
            <w:webHidden/>
          </w:rPr>
          <w:fldChar w:fldCharType="begin"/>
        </w:r>
        <w:r w:rsidR="005255AC">
          <w:rPr>
            <w:noProof/>
            <w:webHidden/>
          </w:rPr>
          <w:instrText xml:space="preserve"> PAGEREF _Toc459787967 \h </w:instrText>
        </w:r>
        <w:r w:rsidR="005255AC">
          <w:rPr>
            <w:noProof/>
            <w:webHidden/>
          </w:rPr>
        </w:r>
        <w:r w:rsidR="005255AC">
          <w:rPr>
            <w:noProof/>
            <w:webHidden/>
          </w:rPr>
          <w:fldChar w:fldCharType="separate"/>
        </w:r>
        <w:r w:rsidR="005255AC">
          <w:rPr>
            <w:noProof/>
            <w:webHidden/>
          </w:rPr>
          <w:t>10</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8" w:history="1">
        <w:r w:rsidR="005255AC" w:rsidRPr="004243C1">
          <w:rPr>
            <w:rStyle w:val="Hyperlink"/>
            <w:noProof/>
          </w:rPr>
          <w:t>1.</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Indiening van een offerte</w:t>
        </w:r>
        <w:r w:rsidR="005255AC">
          <w:rPr>
            <w:noProof/>
            <w:webHidden/>
          </w:rPr>
          <w:tab/>
        </w:r>
        <w:r w:rsidR="005255AC">
          <w:rPr>
            <w:noProof/>
            <w:webHidden/>
          </w:rPr>
          <w:fldChar w:fldCharType="begin"/>
        </w:r>
        <w:r w:rsidR="005255AC">
          <w:rPr>
            <w:noProof/>
            <w:webHidden/>
          </w:rPr>
          <w:instrText xml:space="preserve"> PAGEREF _Toc459787968 \h </w:instrText>
        </w:r>
        <w:r w:rsidR="005255AC">
          <w:rPr>
            <w:noProof/>
            <w:webHidden/>
          </w:rPr>
        </w:r>
        <w:r w:rsidR="005255AC">
          <w:rPr>
            <w:noProof/>
            <w:webHidden/>
          </w:rPr>
          <w:fldChar w:fldCharType="separate"/>
        </w:r>
        <w:r w:rsidR="005255AC">
          <w:rPr>
            <w:noProof/>
            <w:webHidden/>
          </w:rPr>
          <w:t>10</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69" w:history="1">
        <w:r w:rsidR="005255AC" w:rsidRPr="004243C1">
          <w:rPr>
            <w:rStyle w:val="Hyperlink"/>
            <w:noProof/>
          </w:rPr>
          <w:t>2.</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Kosten voor deelname aan de procedure</w:t>
        </w:r>
        <w:r w:rsidR="005255AC">
          <w:rPr>
            <w:noProof/>
            <w:webHidden/>
          </w:rPr>
          <w:tab/>
        </w:r>
        <w:r w:rsidR="005255AC">
          <w:rPr>
            <w:noProof/>
            <w:webHidden/>
          </w:rPr>
          <w:fldChar w:fldCharType="begin"/>
        </w:r>
        <w:r w:rsidR="005255AC">
          <w:rPr>
            <w:noProof/>
            <w:webHidden/>
          </w:rPr>
          <w:instrText xml:space="preserve"> PAGEREF _Toc459787969 \h </w:instrText>
        </w:r>
        <w:r w:rsidR="005255AC">
          <w:rPr>
            <w:noProof/>
            <w:webHidden/>
          </w:rPr>
        </w:r>
        <w:r w:rsidR="005255AC">
          <w:rPr>
            <w:noProof/>
            <w:webHidden/>
          </w:rPr>
          <w:fldChar w:fldCharType="separate"/>
        </w:r>
        <w:r w:rsidR="005255AC">
          <w:rPr>
            <w:noProof/>
            <w:webHidden/>
          </w:rPr>
          <w:t>10</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0" w:history="1">
        <w:r w:rsidR="005255AC" w:rsidRPr="004243C1">
          <w:rPr>
            <w:rStyle w:val="Hyperlink"/>
            <w:noProof/>
          </w:rPr>
          <w:t>3.</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Eigendom van de offerte</w:t>
        </w:r>
        <w:r w:rsidR="005255AC">
          <w:rPr>
            <w:noProof/>
            <w:webHidden/>
          </w:rPr>
          <w:tab/>
        </w:r>
        <w:r w:rsidR="005255AC">
          <w:rPr>
            <w:noProof/>
            <w:webHidden/>
          </w:rPr>
          <w:fldChar w:fldCharType="begin"/>
        </w:r>
        <w:r w:rsidR="005255AC">
          <w:rPr>
            <w:noProof/>
            <w:webHidden/>
          </w:rPr>
          <w:instrText xml:space="preserve"> PAGEREF _Toc459787970 \h </w:instrText>
        </w:r>
        <w:r w:rsidR="005255AC">
          <w:rPr>
            <w:noProof/>
            <w:webHidden/>
          </w:rPr>
        </w:r>
        <w:r w:rsidR="005255AC">
          <w:rPr>
            <w:noProof/>
            <w:webHidden/>
          </w:rPr>
          <w:fldChar w:fldCharType="separate"/>
        </w:r>
        <w:r w:rsidR="005255AC">
          <w:rPr>
            <w:noProof/>
            <w:webHidden/>
          </w:rPr>
          <w:t>11</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1" w:history="1">
        <w:r w:rsidR="005255AC" w:rsidRPr="004243C1">
          <w:rPr>
            <w:rStyle w:val="Hyperlink"/>
            <w:noProof/>
          </w:rPr>
          <w:t>4.</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Verplicht bezoek ter plaatse</w:t>
        </w:r>
        <w:r w:rsidR="005255AC">
          <w:rPr>
            <w:noProof/>
            <w:webHidden/>
          </w:rPr>
          <w:tab/>
        </w:r>
        <w:r w:rsidR="005255AC">
          <w:rPr>
            <w:noProof/>
            <w:webHidden/>
          </w:rPr>
          <w:fldChar w:fldCharType="begin"/>
        </w:r>
        <w:r w:rsidR="005255AC">
          <w:rPr>
            <w:noProof/>
            <w:webHidden/>
          </w:rPr>
          <w:instrText xml:space="preserve"> PAGEREF _Toc459787971 \h </w:instrText>
        </w:r>
        <w:r w:rsidR="005255AC">
          <w:rPr>
            <w:noProof/>
            <w:webHidden/>
          </w:rPr>
        </w:r>
        <w:r w:rsidR="005255AC">
          <w:rPr>
            <w:noProof/>
            <w:webHidden/>
          </w:rPr>
          <w:fldChar w:fldCharType="separate"/>
        </w:r>
        <w:r w:rsidR="005255AC">
          <w:rPr>
            <w:noProof/>
            <w:webHidden/>
          </w:rPr>
          <w:t>11</w:t>
        </w:r>
        <w:r w:rsidR="005255AC">
          <w:rPr>
            <w:noProof/>
            <w:webHidden/>
          </w:rPr>
          <w:fldChar w:fldCharType="end"/>
        </w:r>
      </w:hyperlink>
    </w:p>
    <w:p w:rsidR="005255AC" w:rsidRDefault="00AB6290">
      <w:pPr>
        <w:pStyle w:val="TOC1"/>
        <w:rPr>
          <w:rFonts w:asciiTheme="minorHAnsi" w:eastAsiaTheme="minorEastAsia" w:hAnsiTheme="minorHAnsi" w:cstheme="minorBidi"/>
          <w:noProof/>
          <w:sz w:val="22"/>
          <w:szCs w:val="22"/>
          <w:lang w:val="en-GB" w:eastAsia="en-GB"/>
        </w:rPr>
      </w:pPr>
      <w:hyperlink w:anchor="_Toc459787972" w:history="1">
        <w:r w:rsidR="005255AC" w:rsidRPr="004243C1">
          <w:rPr>
            <w:rStyle w:val="Hyperlink"/>
            <w:noProof/>
          </w:rPr>
          <w:t>V.</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Contacten tussen de aanbestedende dienst en de inschrijvers</w:t>
        </w:r>
        <w:r w:rsidR="005255AC">
          <w:rPr>
            <w:noProof/>
            <w:webHidden/>
          </w:rPr>
          <w:tab/>
        </w:r>
        <w:r w:rsidR="005255AC">
          <w:rPr>
            <w:noProof/>
            <w:webHidden/>
          </w:rPr>
          <w:fldChar w:fldCharType="begin"/>
        </w:r>
        <w:r w:rsidR="005255AC">
          <w:rPr>
            <w:noProof/>
            <w:webHidden/>
          </w:rPr>
          <w:instrText xml:space="preserve"> PAGEREF _Toc459787972 \h </w:instrText>
        </w:r>
        <w:r w:rsidR="005255AC">
          <w:rPr>
            <w:noProof/>
            <w:webHidden/>
          </w:rPr>
        </w:r>
        <w:r w:rsidR="005255AC">
          <w:rPr>
            <w:noProof/>
            <w:webHidden/>
          </w:rPr>
          <w:fldChar w:fldCharType="separate"/>
        </w:r>
        <w:r w:rsidR="005255AC">
          <w:rPr>
            <w:noProof/>
            <w:webHidden/>
          </w:rPr>
          <w:t>11</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3" w:history="1">
        <w:r w:rsidR="005255AC" w:rsidRPr="004243C1">
          <w:rPr>
            <w:rStyle w:val="Hyperlink"/>
            <w:noProof/>
          </w:rPr>
          <w:t>1.</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Informatievergadering:</w:t>
        </w:r>
        <w:r w:rsidR="005255AC">
          <w:rPr>
            <w:noProof/>
            <w:webHidden/>
          </w:rPr>
          <w:tab/>
        </w:r>
        <w:r w:rsidR="005255AC">
          <w:rPr>
            <w:noProof/>
            <w:webHidden/>
          </w:rPr>
          <w:fldChar w:fldCharType="begin"/>
        </w:r>
        <w:r w:rsidR="005255AC">
          <w:rPr>
            <w:noProof/>
            <w:webHidden/>
          </w:rPr>
          <w:instrText xml:space="preserve"> PAGEREF _Toc459787973 \h </w:instrText>
        </w:r>
        <w:r w:rsidR="005255AC">
          <w:rPr>
            <w:noProof/>
            <w:webHidden/>
          </w:rPr>
        </w:r>
        <w:r w:rsidR="005255AC">
          <w:rPr>
            <w:noProof/>
            <w:webHidden/>
          </w:rPr>
          <w:fldChar w:fldCharType="separate"/>
        </w:r>
        <w:r w:rsidR="005255AC">
          <w:rPr>
            <w:noProof/>
            <w:webHidden/>
          </w:rPr>
          <w:t>11</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4" w:history="1">
        <w:r w:rsidR="005255AC" w:rsidRPr="004243C1">
          <w:rPr>
            <w:rStyle w:val="Hyperlink"/>
            <w:noProof/>
          </w:rPr>
          <w:t>2.</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Vóór de sluitingsdatum van inschrijving:</w:t>
        </w:r>
        <w:r w:rsidR="005255AC">
          <w:rPr>
            <w:noProof/>
            <w:webHidden/>
          </w:rPr>
          <w:tab/>
        </w:r>
        <w:r w:rsidR="005255AC">
          <w:rPr>
            <w:noProof/>
            <w:webHidden/>
          </w:rPr>
          <w:fldChar w:fldCharType="begin"/>
        </w:r>
        <w:r w:rsidR="005255AC">
          <w:rPr>
            <w:noProof/>
            <w:webHidden/>
          </w:rPr>
          <w:instrText xml:space="preserve"> PAGEREF _Toc459787974 \h </w:instrText>
        </w:r>
        <w:r w:rsidR="005255AC">
          <w:rPr>
            <w:noProof/>
            <w:webHidden/>
          </w:rPr>
        </w:r>
        <w:r w:rsidR="005255AC">
          <w:rPr>
            <w:noProof/>
            <w:webHidden/>
          </w:rPr>
          <w:fldChar w:fldCharType="separate"/>
        </w:r>
        <w:r w:rsidR="005255AC">
          <w:rPr>
            <w:noProof/>
            <w:webHidden/>
          </w:rPr>
          <w:t>12</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5" w:history="1">
        <w:r w:rsidR="005255AC" w:rsidRPr="004243C1">
          <w:rPr>
            <w:rStyle w:val="Hyperlink"/>
            <w:noProof/>
          </w:rPr>
          <w:t>3.</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Na de opening van de offertes:</w:t>
        </w:r>
        <w:r w:rsidR="005255AC">
          <w:rPr>
            <w:noProof/>
            <w:webHidden/>
          </w:rPr>
          <w:tab/>
        </w:r>
        <w:r w:rsidR="005255AC">
          <w:rPr>
            <w:noProof/>
            <w:webHidden/>
          </w:rPr>
          <w:fldChar w:fldCharType="begin"/>
        </w:r>
        <w:r w:rsidR="005255AC">
          <w:rPr>
            <w:noProof/>
            <w:webHidden/>
          </w:rPr>
          <w:instrText xml:space="preserve"> PAGEREF _Toc459787975 \h </w:instrText>
        </w:r>
        <w:r w:rsidR="005255AC">
          <w:rPr>
            <w:noProof/>
            <w:webHidden/>
          </w:rPr>
        </w:r>
        <w:r w:rsidR="005255AC">
          <w:rPr>
            <w:noProof/>
            <w:webHidden/>
          </w:rPr>
          <w:fldChar w:fldCharType="separate"/>
        </w:r>
        <w:r w:rsidR="005255AC">
          <w:rPr>
            <w:noProof/>
            <w:webHidden/>
          </w:rPr>
          <w:t>13</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6" w:history="1">
        <w:r w:rsidR="005255AC" w:rsidRPr="004243C1">
          <w:rPr>
            <w:rStyle w:val="Hyperlink"/>
            <w:noProof/>
          </w:rPr>
          <w:t>2.1. Verduidelijkingen en correcties</w:t>
        </w:r>
        <w:r w:rsidR="005255AC">
          <w:rPr>
            <w:noProof/>
            <w:webHidden/>
          </w:rPr>
          <w:tab/>
        </w:r>
        <w:r w:rsidR="005255AC">
          <w:rPr>
            <w:noProof/>
            <w:webHidden/>
          </w:rPr>
          <w:fldChar w:fldCharType="begin"/>
        </w:r>
        <w:r w:rsidR="005255AC">
          <w:rPr>
            <w:noProof/>
            <w:webHidden/>
          </w:rPr>
          <w:instrText xml:space="preserve"> PAGEREF _Toc459787976 \h </w:instrText>
        </w:r>
        <w:r w:rsidR="005255AC">
          <w:rPr>
            <w:noProof/>
            <w:webHidden/>
          </w:rPr>
        </w:r>
        <w:r w:rsidR="005255AC">
          <w:rPr>
            <w:noProof/>
            <w:webHidden/>
          </w:rPr>
          <w:fldChar w:fldCharType="separate"/>
        </w:r>
        <w:r w:rsidR="005255AC">
          <w:rPr>
            <w:noProof/>
            <w:webHidden/>
          </w:rPr>
          <w:t>13</w:t>
        </w:r>
        <w:r w:rsidR="005255AC">
          <w:rPr>
            <w:noProof/>
            <w:webHidden/>
          </w:rPr>
          <w:fldChar w:fldCharType="end"/>
        </w:r>
      </w:hyperlink>
    </w:p>
    <w:p w:rsidR="005255AC" w:rsidRDefault="00AB6290">
      <w:pPr>
        <w:pStyle w:val="TOC3"/>
        <w:rPr>
          <w:rFonts w:asciiTheme="minorHAnsi" w:eastAsiaTheme="minorEastAsia" w:hAnsiTheme="minorHAnsi" w:cstheme="minorBidi"/>
          <w:noProof/>
          <w:sz w:val="22"/>
          <w:szCs w:val="22"/>
          <w:lang w:val="en-GB" w:eastAsia="en-GB"/>
        </w:rPr>
      </w:pPr>
      <w:hyperlink w:anchor="_Toc459787977" w:history="1">
        <w:r w:rsidR="005255AC" w:rsidRPr="004243C1">
          <w:rPr>
            <w:rStyle w:val="Hyperlink"/>
            <w:b/>
            <w:noProof/>
          </w:rPr>
          <w:t>2.2. Kennisgeving</w:t>
        </w:r>
        <w:r w:rsidR="005255AC">
          <w:rPr>
            <w:noProof/>
            <w:webHidden/>
          </w:rPr>
          <w:tab/>
        </w:r>
        <w:r w:rsidR="005255AC">
          <w:rPr>
            <w:noProof/>
            <w:webHidden/>
          </w:rPr>
          <w:fldChar w:fldCharType="begin"/>
        </w:r>
        <w:r w:rsidR="005255AC">
          <w:rPr>
            <w:noProof/>
            <w:webHidden/>
          </w:rPr>
          <w:instrText xml:space="preserve"> PAGEREF _Toc459787977 \h </w:instrText>
        </w:r>
        <w:r w:rsidR="005255AC">
          <w:rPr>
            <w:noProof/>
            <w:webHidden/>
          </w:rPr>
        </w:r>
        <w:r w:rsidR="005255AC">
          <w:rPr>
            <w:noProof/>
            <w:webHidden/>
          </w:rPr>
          <w:fldChar w:fldCharType="separate"/>
        </w:r>
        <w:r w:rsidR="005255AC">
          <w:rPr>
            <w:noProof/>
            <w:webHidden/>
          </w:rPr>
          <w:t>13</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8" w:history="1">
        <w:r w:rsidR="005255AC" w:rsidRPr="004243C1">
          <w:rPr>
            <w:rStyle w:val="Hyperlink"/>
            <w:noProof/>
          </w:rPr>
          <w:t>4.</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Centrale contactpunten</w:t>
        </w:r>
        <w:r w:rsidR="005255AC">
          <w:rPr>
            <w:noProof/>
            <w:webHidden/>
          </w:rPr>
          <w:tab/>
        </w:r>
        <w:r w:rsidR="005255AC">
          <w:rPr>
            <w:noProof/>
            <w:webHidden/>
          </w:rPr>
          <w:fldChar w:fldCharType="begin"/>
        </w:r>
        <w:r w:rsidR="005255AC">
          <w:rPr>
            <w:noProof/>
            <w:webHidden/>
          </w:rPr>
          <w:instrText xml:space="preserve"> PAGEREF _Toc459787978 \h </w:instrText>
        </w:r>
        <w:r w:rsidR="005255AC">
          <w:rPr>
            <w:noProof/>
            <w:webHidden/>
          </w:rPr>
        </w:r>
        <w:r w:rsidR="005255AC">
          <w:rPr>
            <w:noProof/>
            <w:webHidden/>
          </w:rPr>
          <w:fldChar w:fldCharType="separate"/>
        </w:r>
        <w:r w:rsidR="005255AC">
          <w:rPr>
            <w:noProof/>
            <w:webHidden/>
          </w:rPr>
          <w:t>13</w:t>
        </w:r>
        <w:r w:rsidR="005255AC">
          <w:rPr>
            <w:noProof/>
            <w:webHidden/>
          </w:rPr>
          <w:fldChar w:fldCharType="end"/>
        </w:r>
      </w:hyperlink>
    </w:p>
    <w:p w:rsidR="005255AC" w:rsidRDefault="00AB6290">
      <w:pPr>
        <w:pStyle w:val="TOC2"/>
        <w:rPr>
          <w:rFonts w:asciiTheme="minorHAnsi" w:eastAsiaTheme="minorEastAsia" w:hAnsiTheme="minorHAnsi" w:cstheme="minorBidi"/>
          <w:noProof/>
          <w:sz w:val="22"/>
          <w:szCs w:val="22"/>
          <w:lang w:val="en-GB" w:eastAsia="en-GB"/>
        </w:rPr>
      </w:pPr>
      <w:hyperlink w:anchor="_Toc459787979" w:history="1">
        <w:r w:rsidR="005255AC" w:rsidRPr="004243C1">
          <w:rPr>
            <w:rStyle w:val="Hyperlink"/>
            <w:noProof/>
          </w:rPr>
          <w:t>3.1. Contactpunt bij de inschrijver</w:t>
        </w:r>
        <w:r w:rsidR="005255AC">
          <w:rPr>
            <w:noProof/>
            <w:webHidden/>
          </w:rPr>
          <w:tab/>
        </w:r>
        <w:r w:rsidR="005255AC">
          <w:rPr>
            <w:noProof/>
            <w:webHidden/>
          </w:rPr>
          <w:fldChar w:fldCharType="begin"/>
        </w:r>
        <w:r w:rsidR="005255AC">
          <w:rPr>
            <w:noProof/>
            <w:webHidden/>
          </w:rPr>
          <w:instrText xml:space="preserve"> PAGEREF _Toc459787979 \h </w:instrText>
        </w:r>
        <w:r w:rsidR="005255AC">
          <w:rPr>
            <w:noProof/>
            <w:webHidden/>
          </w:rPr>
        </w:r>
        <w:r w:rsidR="005255AC">
          <w:rPr>
            <w:noProof/>
            <w:webHidden/>
          </w:rPr>
          <w:fldChar w:fldCharType="separate"/>
        </w:r>
        <w:r w:rsidR="005255AC">
          <w:rPr>
            <w:noProof/>
            <w:webHidden/>
          </w:rPr>
          <w:t>13</w:t>
        </w:r>
        <w:r w:rsidR="005255AC">
          <w:rPr>
            <w:noProof/>
            <w:webHidden/>
          </w:rPr>
          <w:fldChar w:fldCharType="end"/>
        </w:r>
      </w:hyperlink>
    </w:p>
    <w:p w:rsidR="005255AC" w:rsidRDefault="00AB6290">
      <w:pPr>
        <w:pStyle w:val="TOC3"/>
        <w:rPr>
          <w:rFonts w:asciiTheme="minorHAnsi" w:eastAsiaTheme="minorEastAsia" w:hAnsiTheme="minorHAnsi" w:cstheme="minorBidi"/>
          <w:noProof/>
          <w:sz w:val="22"/>
          <w:szCs w:val="22"/>
          <w:lang w:val="en-GB" w:eastAsia="en-GB"/>
        </w:rPr>
      </w:pPr>
      <w:hyperlink w:anchor="_Toc459787980" w:history="1">
        <w:r w:rsidR="005255AC" w:rsidRPr="004243C1">
          <w:rPr>
            <w:rStyle w:val="Hyperlink"/>
            <w:b/>
            <w:noProof/>
          </w:rPr>
          <w:t>3.2. Contactpunt bij het secretariaat</w:t>
        </w:r>
        <w:r w:rsidR="005255AC">
          <w:rPr>
            <w:noProof/>
            <w:webHidden/>
          </w:rPr>
          <w:tab/>
        </w:r>
        <w:r w:rsidR="005255AC">
          <w:rPr>
            <w:noProof/>
            <w:webHidden/>
          </w:rPr>
          <w:fldChar w:fldCharType="begin"/>
        </w:r>
        <w:r w:rsidR="005255AC">
          <w:rPr>
            <w:noProof/>
            <w:webHidden/>
          </w:rPr>
          <w:instrText xml:space="preserve"> PAGEREF _Toc459787980 \h </w:instrText>
        </w:r>
        <w:r w:rsidR="005255AC">
          <w:rPr>
            <w:noProof/>
            <w:webHidden/>
          </w:rPr>
        </w:r>
        <w:r w:rsidR="005255AC">
          <w:rPr>
            <w:noProof/>
            <w:webHidden/>
          </w:rPr>
          <w:fldChar w:fldCharType="separate"/>
        </w:r>
        <w:r w:rsidR="005255AC">
          <w:rPr>
            <w:noProof/>
            <w:webHidden/>
          </w:rPr>
          <w:t>13</w:t>
        </w:r>
        <w:r w:rsidR="005255AC">
          <w:rPr>
            <w:noProof/>
            <w:webHidden/>
          </w:rPr>
          <w:fldChar w:fldCharType="end"/>
        </w:r>
      </w:hyperlink>
    </w:p>
    <w:p w:rsidR="005255AC" w:rsidRDefault="00AB6290">
      <w:pPr>
        <w:pStyle w:val="TOC1"/>
        <w:rPr>
          <w:rFonts w:asciiTheme="minorHAnsi" w:eastAsiaTheme="minorEastAsia" w:hAnsiTheme="minorHAnsi" w:cstheme="minorBidi"/>
          <w:noProof/>
          <w:sz w:val="22"/>
          <w:szCs w:val="22"/>
          <w:lang w:val="en-GB" w:eastAsia="en-GB"/>
        </w:rPr>
      </w:pPr>
      <w:hyperlink w:anchor="_Toc459787981" w:history="1">
        <w:r w:rsidR="005255AC" w:rsidRPr="004243C1">
          <w:rPr>
            <w:rStyle w:val="Hyperlink"/>
            <w:noProof/>
          </w:rPr>
          <w:t>VI.</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Clausule van beperkte aansprakelijkheid</w:t>
        </w:r>
        <w:r w:rsidR="005255AC">
          <w:rPr>
            <w:noProof/>
            <w:webHidden/>
          </w:rPr>
          <w:tab/>
        </w:r>
        <w:r w:rsidR="005255AC">
          <w:rPr>
            <w:noProof/>
            <w:webHidden/>
          </w:rPr>
          <w:fldChar w:fldCharType="begin"/>
        </w:r>
        <w:r w:rsidR="005255AC">
          <w:rPr>
            <w:noProof/>
            <w:webHidden/>
          </w:rPr>
          <w:instrText xml:space="preserve"> PAGEREF _Toc459787981 \h </w:instrText>
        </w:r>
        <w:r w:rsidR="005255AC">
          <w:rPr>
            <w:noProof/>
            <w:webHidden/>
          </w:rPr>
        </w:r>
        <w:r w:rsidR="005255AC">
          <w:rPr>
            <w:noProof/>
            <w:webHidden/>
          </w:rPr>
          <w:fldChar w:fldCharType="separate"/>
        </w:r>
        <w:r w:rsidR="005255AC">
          <w:rPr>
            <w:noProof/>
            <w:webHidden/>
          </w:rPr>
          <w:t>14</w:t>
        </w:r>
        <w:r w:rsidR="005255AC">
          <w:rPr>
            <w:noProof/>
            <w:webHidden/>
          </w:rPr>
          <w:fldChar w:fldCharType="end"/>
        </w:r>
      </w:hyperlink>
    </w:p>
    <w:p w:rsidR="005255AC" w:rsidRDefault="00AB6290">
      <w:pPr>
        <w:pStyle w:val="TOC1"/>
        <w:rPr>
          <w:rFonts w:asciiTheme="minorHAnsi" w:eastAsiaTheme="minorEastAsia" w:hAnsiTheme="minorHAnsi" w:cstheme="minorBidi"/>
          <w:noProof/>
          <w:sz w:val="22"/>
          <w:szCs w:val="22"/>
          <w:lang w:val="en-GB" w:eastAsia="en-GB"/>
        </w:rPr>
      </w:pPr>
      <w:hyperlink w:anchor="_Toc459787982" w:history="1">
        <w:r w:rsidR="005255AC" w:rsidRPr="004243C1">
          <w:rPr>
            <w:rStyle w:val="Hyperlink"/>
            <w:noProof/>
          </w:rPr>
          <w:t>VII.</w:t>
        </w:r>
        <w:r w:rsidR="005255AC">
          <w:rPr>
            <w:rFonts w:asciiTheme="minorHAnsi" w:eastAsiaTheme="minorEastAsia" w:hAnsiTheme="minorHAnsi" w:cstheme="minorBidi"/>
            <w:noProof/>
            <w:sz w:val="22"/>
            <w:szCs w:val="22"/>
            <w:lang w:val="en-GB" w:eastAsia="en-GB"/>
          </w:rPr>
          <w:tab/>
        </w:r>
        <w:r w:rsidR="005255AC" w:rsidRPr="004243C1">
          <w:rPr>
            <w:rStyle w:val="Hyperlink"/>
            <w:noProof/>
          </w:rPr>
          <w:t>Bijlagen</w:t>
        </w:r>
        <w:r w:rsidR="005255AC">
          <w:rPr>
            <w:noProof/>
            <w:webHidden/>
          </w:rPr>
          <w:tab/>
        </w:r>
        <w:r w:rsidR="005255AC">
          <w:rPr>
            <w:noProof/>
            <w:webHidden/>
          </w:rPr>
          <w:fldChar w:fldCharType="begin"/>
        </w:r>
        <w:r w:rsidR="005255AC">
          <w:rPr>
            <w:noProof/>
            <w:webHidden/>
          </w:rPr>
          <w:instrText xml:space="preserve"> PAGEREF _Toc459787982 \h </w:instrText>
        </w:r>
        <w:r w:rsidR="005255AC">
          <w:rPr>
            <w:noProof/>
            <w:webHidden/>
          </w:rPr>
        </w:r>
        <w:r w:rsidR="005255AC">
          <w:rPr>
            <w:noProof/>
            <w:webHidden/>
          </w:rPr>
          <w:fldChar w:fldCharType="separate"/>
        </w:r>
        <w:r w:rsidR="005255AC">
          <w:rPr>
            <w:noProof/>
            <w:webHidden/>
          </w:rPr>
          <w:t>14</w:t>
        </w:r>
        <w:r w:rsidR="005255AC">
          <w:rPr>
            <w:noProof/>
            <w:webHidden/>
          </w:rPr>
          <w:fldChar w:fldCharType="end"/>
        </w:r>
      </w:hyperlink>
    </w:p>
    <w:p w:rsidR="00DC21B7" w:rsidRPr="00B8351B" w:rsidRDefault="00814EA5">
      <w:pPr>
        <w:pStyle w:val="TOC1"/>
        <w:rPr>
          <w:rFonts w:ascii="Calibri" w:hAnsi="Calibri" w:cs="Arial"/>
          <w:noProof/>
          <w:sz w:val="22"/>
          <w:szCs w:val="22"/>
        </w:rPr>
      </w:pPr>
      <w:r>
        <w:fldChar w:fldCharType="end"/>
      </w:r>
    </w:p>
    <w:p w:rsidR="00814EA5" w:rsidRPr="00360EA6" w:rsidRDefault="00DA5A7B" w:rsidP="00825EAF">
      <w:pPr>
        <w:pStyle w:val="Heading1"/>
        <w:tabs>
          <w:tab w:val="clear" w:pos="851"/>
        </w:tabs>
        <w:ind w:left="567" w:hanging="567"/>
      </w:pPr>
      <w:bookmarkStart w:id="0" w:name="_Toc254182791"/>
      <w:bookmarkStart w:id="1" w:name="_Toc447616533"/>
      <w:r>
        <w:br w:type="page"/>
      </w:r>
      <w:bookmarkStart w:id="2" w:name="_Toc459787951"/>
      <w:r w:rsidR="00814EA5">
        <w:lastRenderedPageBreak/>
        <w:t>Indiening van de offertes</w:t>
      </w:r>
      <w:bookmarkEnd w:id="0"/>
      <w:bookmarkEnd w:id="1"/>
      <w:bookmarkEnd w:id="2"/>
    </w:p>
    <w:p w:rsidR="00814EA5" w:rsidRPr="00360EA6" w:rsidRDefault="00814EA5" w:rsidP="00825EAF">
      <w:pPr>
        <w:pStyle w:val="Heading2"/>
        <w:numPr>
          <w:ilvl w:val="1"/>
          <w:numId w:val="11"/>
        </w:numPr>
        <w:tabs>
          <w:tab w:val="clear" w:pos="851"/>
          <w:tab w:val="num" w:pos="567"/>
        </w:tabs>
        <w:spacing w:before="0"/>
        <w:ind w:left="0" w:firstLine="0"/>
      </w:pPr>
      <w:bookmarkStart w:id="3" w:name="_Toc254182792"/>
      <w:bookmarkStart w:id="4" w:name="_Toc447616534"/>
      <w:bookmarkStart w:id="5" w:name="_Toc459787952"/>
      <w:r>
        <w:t>Samenstelling van de offertes</w:t>
      </w:r>
      <w:bookmarkEnd w:id="3"/>
      <w:bookmarkEnd w:id="4"/>
      <w:bookmarkEnd w:id="5"/>
    </w:p>
    <w:p w:rsidR="00814EA5" w:rsidRPr="00360EA6" w:rsidRDefault="00814EA5" w:rsidP="00825EAF">
      <w:pPr>
        <w:spacing w:line="240" w:lineRule="auto"/>
        <w:ind w:left="567"/>
        <w:jc w:val="both"/>
      </w:pPr>
      <w:r>
        <w:t>De offerte voor deze aanbesteding wordt, zoals hierna aangegeven, ingediend in afzonderlijk gebonden delen en in de opgegeven hoeveelheden.</w:t>
      </w:r>
    </w:p>
    <w:p w:rsidR="00814EA5" w:rsidRPr="00262EA8" w:rsidRDefault="00814EA5" w:rsidP="00825EAF">
      <w:pPr>
        <w:spacing w:line="240" w:lineRule="auto"/>
        <w:jc w:val="both"/>
      </w:pPr>
    </w:p>
    <w:p w:rsidR="00814EA5" w:rsidRPr="00D27AB9" w:rsidRDefault="00D27AB9" w:rsidP="00825EAF">
      <w:pPr>
        <w:pStyle w:val="Heading3"/>
        <w:numPr>
          <w:ilvl w:val="0"/>
          <w:numId w:val="0"/>
        </w:numPr>
        <w:rPr>
          <w:i w:val="0"/>
        </w:rPr>
      </w:pPr>
      <w:bookmarkStart w:id="6" w:name="_Toc447616535"/>
      <w:bookmarkStart w:id="7" w:name="_Toc459787953"/>
      <w:r>
        <w:rPr>
          <w:b/>
          <w:i w:val="0"/>
        </w:rPr>
        <w:t>1.1</w:t>
      </w:r>
      <w:r>
        <w:rPr>
          <w:i w:val="0"/>
        </w:rPr>
        <w:t>.</w:t>
      </w:r>
      <w:r>
        <w:rPr>
          <w:i w:val="0"/>
        </w:rPr>
        <w:tab/>
      </w:r>
      <w:bookmarkStart w:id="8" w:name="_Toc254182793"/>
      <w:r>
        <w:rPr>
          <w:b/>
          <w:i w:val="0"/>
        </w:rPr>
        <w:t>Begeleidende brief</w:t>
      </w:r>
      <w:bookmarkEnd w:id="8"/>
      <w:r>
        <w:rPr>
          <w:b/>
          <w:i w:val="0"/>
        </w:rPr>
        <w:t xml:space="preserve"> - index</w:t>
      </w:r>
      <w:bookmarkEnd w:id="6"/>
      <w:bookmarkEnd w:id="7"/>
    </w:p>
    <w:p w:rsidR="00814EA5" w:rsidRPr="00360EA6" w:rsidRDefault="00814EA5" w:rsidP="004E1EF2">
      <w:pPr>
        <w:spacing w:line="240" w:lineRule="auto"/>
        <w:ind w:left="567"/>
        <w:jc w:val="both"/>
      </w:pPr>
      <w:r>
        <w:t>De offerte moet een begeleidende brief bevatten, ondertekend door de persoon (personen) die is (zijn) gemachtigd om de inschrijver te vertegenwoordigen en de overeenkomst te ondertekenen indien diens offerte wordt uitgekozen</w:t>
      </w:r>
      <w:r w:rsidRPr="0027229D">
        <w:rPr>
          <w:vertAlign w:val="superscript"/>
          <w:lang w:val="fr-BE"/>
        </w:rPr>
        <w:footnoteReference w:id="1"/>
      </w:r>
      <w:r>
        <w:t>. De inschrijver moet daarin de naam, de titel en de gegevens vermelden van de persoon met wie contact kan worden opgenomen voor inlichtingen over de offerte (zie ook punt V.3.1.). In deze brief kan alle informatie worden verstrekt die de inschrijver ter kennis van de aanbestedende dienst wil brengen.</w:t>
      </w:r>
    </w:p>
    <w:p w:rsidR="00814EA5" w:rsidRPr="00262EA8" w:rsidRDefault="00814EA5" w:rsidP="00F24E32">
      <w:pPr>
        <w:spacing w:line="240" w:lineRule="auto"/>
        <w:ind w:left="567"/>
        <w:jc w:val="both"/>
      </w:pPr>
    </w:p>
    <w:p w:rsidR="00F24E32" w:rsidRPr="00360EA6" w:rsidRDefault="00F24E32" w:rsidP="00F24E32">
      <w:pPr>
        <w:spacing w:line="240" w:lineRule="auto"/>
        <w:ind w:left="567"/>
        <w:jc w:val="both"/>
      </w:pPr>
      <w:r>
        <w:t>De offerte bevat bij voorkeur eveneens een uitgebreide inhoudstafel waarin de voor de aanbesteding ingediende informatie en documentatie wordt opgesomd.</w:t>
      </w:r>
    </w:p>
    <w:p w:rsidR="00814EA5" w:rsidRPr="00262EA8" w:rsidRDefault="00814EA5" w:rsidP="00F24E32">
      <w:pPr>
        <w:spacing w:line="240" w:lineRule="auto"/>
        <w:ind w:left="567"/>
        <w:jc w:val="both"/>
      </w:pPr>
    </w:p>
    <w:p w:rsidR="00814EA5" w:rsidRPr="00095E20" w:rsidRDefault="00D27AB9" w:rsidP="00B337F3">
      <w:pPr>
        <w:pStyle w:val="Heading3"/>
        <w:numPr>
          <w:ilvl w:val="0"/>
          <w:numId w:val="0"/>
        </w:numPr>
        <w:rPr>
          <w:b/>
          <w:i w:val="0"/>
        </w:rPr>
      </w:pPr>
      <w:bookmarkStart w:id="9" w:name="_Toc447616536"/>
      <w:bookmarkStart w:id="10" w:name="_Toc459787954"/>
      <w:bookmarkStart w:id="11" w:name="_Toc254182794"/>
      <w:r>
        <w:rPr>
          <w:b/>
          <w:i w:val="0"/>
        </w:rPr>
        <w:t>1.2</w:t>
      </w:r>
      <w:r w:rsidR="00DA5A7B">
        <w:rPr>
          <w:b/>
          <w:i w:val="0"/>
        </w:rPr>
        <w:t>.</w:t>
      </w:r>
      <w:r>
        <w:rPr>
          <w:b/>
          <w:i w:val="0"/>
        </w:rPr>
        <w:tab/>
        <w:t>Deelnemingsvoorwaarden</w:t>
      </w:r>
      <w:bookmarkEnd w:id="9"/>
      <w:bookmarkEnd w:id="10"/>
      <w:r>
        <w:rPr>
          <w:b/>
          <w:i w:val="0"/>
        </w:rPr>
        <w:t xml:space="preserve"> </w:t>
      </w:r>
      <w:bookmarkEnd w:id="11"/>
    </w:p>
    <w:p w:rsidR="00643F2F" w:rsidRPr="00F37D1B" w:rsidRDefault="0005621C" w:rsidP="0005621C">
      <w:pPr>
        <w:spacing w:line="240" w:lineRule="auto"/>
        <w:ind w:left="567"/>
        <w:jc w:val="both"/>
      </w:pPr>
      <w:bookmarkStart w:id="12" w:name="_Toc254182797"/>
      <w:r w:rsidRPr="00F37D1B">
        <w:t>De inschrijvers moeten aantonen dat zij</w:t>
      </w:r>
    </w:p>
    <w:p w:rsidR="00643F2F" w:rsidRPr="00F37D1B" w:rsidRDefault="00643F2F" w:rsidP="00367308">
      <w:pPr>
        <w:spacing w:line="240" w:lineRule="auto"/>
        <w:ind w:left="1276" w:hanging="567"/>
      </w:pPr>
      <w:r w:rsidRPr="00F37D1B">
        <w:t xml:space="preserve">a) </w:t>
      </w:r>
      <w:r w:rsidRPr="00F37D1B">
        <w:tab/>
      </w:r>
      <w:r w:rsidR="0005621C" w:rsidRPr="00F37D1B">
        <w:t xml:space="preserve">zich niet in een situatie van uitsluiting </w:t>
      </w:r>
      <w:r w:rsidR="00367308" w:rsidRPr="00F37D1B">
        <w:t>bevinden volgens</w:t>
      </w:r>
      <w:r w:rsidR="0005621C" w:rsidRPr="00F37D1B">
        <w:t xml:space="preserve"> artikel 106 van Verordening (EU, Euratom) nr 2015/1929 </w:t>
      </w:r>
      <w:r w:rsidR="00367308" w:rsidRPr="00F37D1B">
        <w:t>betreffende</w:t>
      </w:r>
      <w:r w:rsidR="0005621C" w:rsidRPr="00F37D1B">
        <w:t>de financiële regels van toepassing op de algemene begroting van de Unie,</w:t>
      </w:r>
      <w:r w:rsidRPr="00F37D1B">
        <w:rPr>
          <w:rStyle w:val="FootnoteReference"/>
          <w:lang w:val="fr-BE"/>
        </w:rPr>
        <w:footnoteReference w:id="2"/>
      </w:r>
      <w:r w:rsidRPr="00F37D1B">
        <w:t xml:space="preserve"> </w:t>
      </w:r>
    </w:p>
    <w:p w:rsidR="00643F2F" w:rsidRPr="00F37D1B" w:rsidRDefault="00643F2F" w:rsidP="00367308">
      <w:pPr>
        <w:spacing w:line="240" w:lineRule="auto"/>
        <w:ind w:left="1276" w:hanging="567"/>
      </w:pPr>
      <w:r w:rsidRPr="00F37D1B">
        <w:t>b)</w:t>
      </w:r>
      <w:r w:rsidRPr="00F37D1B">
        <w:tab/>
      </w:r>
      <w:r w:rsidR="00367308" w:rsidRPr="00F37D1B">
        <w:t>gemachtigd zijn om</w:t>
      </w:r>
      <w:r w:rsidR="008928F3" w:rsidRPr="00F37D1B">
        <w:t xml:space="preserve"> de professionele activiteit die het voorwerp uitmaakt van de aankondiging van de opdracht uit te oefenen</w:t>
      </w:r>
    </w:p>
    <w:p w:rsidR="00643F2F" w:rsidRPr="00F37D1B" w:rsidRDefault="00643F2F" w:rsidP="00367308">
      <w:pPr>
        <w:spacing w:line="240" w:lineRule="auto"/>
        <w:ind w:left="1276" w:hanging="567"/>
      </w:pPr>
      <w:r w:rsidRPr="00F37D1B">
        <w:t>c)</w:t>
      </w:r>
      <w:r w:rsidRPr="00F37D1B">
        <w:tab/>
      </w:r>
      <w:r w:rsidR="008928F3" w:rsidRPr="00F37D1B">
        <w:t>over de economische en financiële draagkracht</w:t>
      </w:r>
      <w:r w:rsidR="00367308" w:rsidRPr="00F37D1B">
        <w:t xml:space="preserve"> beschikken</w:t>
      </w:r>
      <w:r w:rsidR="008928F3" w:rsidRPr="00F37D1B">
        <w:t xml:space="preserve"> om  </w:t>
      </w:r>
      <w:r w:rsidR="0021328B" w:rsidRPr="00F37D1B">
        <w:t xml:space="preserve">de </w:t>
      </w:r>
      <w:r w:rsidR="008928F3" w:rsidRPr="00F37D1B">
        <w:t>opdracht uit te voeren</w:t>
      </w:r>
      <w:r w:rsidR="00367308" w:rsidRPr="00F37D1B">
        <w:t xml:space="preserve"> die het voorwerp is van de aankondiging</w:t>
      </w:r>
    </w:p>
    <w:p w:rsidR="00643F2F" w:rsidRPr="00F37D1B" w:rsidRDefault="00643F2F" w:rsidP="00367308">
      <w:pPr>
        <w:spacing w:line="240" w:lineRule="auto"/>
        <w:ind w:left="1276" w:hanging="567"/>
      </w:pPr>
      <w:r w:rsidRPr="00F37D1B">
        <w:t xml:space="preserve">d) </w:t>
      </w:r>
      <w:r w:rsidRPr="00F37D1B">
        <w:tab/>
      </w:r>
      <w:r w:rsidR="008928F3" w:rsidRPr="00F37D1B">
        <w:t>over de technische capaciteit beschik</w:t>
      </w:r>
      <w:r w:rsidR="00367308" w:rsidRPr="00F37D1B">
        <w:t>ken</w:t>
      </w:r>
      <w:r w:rsidR="008928F3" w:rsidRPr="00F37D1B">
        <w:t xml:space="preserve"> om de opdracht uit te voeren</w:t>
      </w:r>
    </w:p>
    <w:p w:rsidR="008928F3" w:rsidRPr="00F37D1B" w:rsidRDefault="008928F3" w:rsidP="00643F2F">
      <w:pPr>
        <w:spacing w:line="240" w:lineRule="auto"/>
        <w:ind w:left="567"/>
        <w:jc w:val="both"/>
      </w:pPr>
    </w:p>
    <w:p w:rsidR="00643F2F" w:rsidRPr="00F37D1B" w:rsidRDefault="008928F3" w:rsidP="00367308">
      <w:pPr>
        <w:spacing w:line="240" w:lineRule="auto"/>
        <w:ind w:left="567"/>
        <w:jc w:val="both"/>
      </w:pPr>
      <w:r w:rsidRPr="00F37D1B">
        <w:t xml:space="preserve">Om aan te tonen dat zij zich niet in de situatie van uitsluiting vermeld </w:t>
      </w:r>
      <w:r w:rsidR="00367308" w:rsidRPr="00F37D1B">
        <w:t xml:space="preserve">onder </w:t>
      </w:r>
      <w:r w:rsidRPr="00F37D1B">
        <w:t>a)</w:t>
      </w:r>
      <w:r w:rsidR="00367308" w:rsidRPr="00F37D1B">
        <w:t xml:space="preserve"> bevinden, moet </w:t>
      </w:r>
      <w:r w:rsidRPr="00F37D1B">
        <w:t xml:space="preserve">de inschrijverde verklaring op erewoord bijgevoegd als bijlage III </w:t>
      </w:r>
      <w:r w:rsidR="00367308" w:rsidRPr="00F37D1B">
        <w:t>invullen</w:t>
      </w:r>
      <w:r w:rsidRPr="00F37D1B">
        <w:t>.</w:t>
      </w:r>
    </w:p>
    <w:p w:rsidR="00643F2F" w:rsidRPr="00F37D1B" w:rsidRDefault="00643F2F" w:rsidP="00643F2F">
      <w:pPr>
        <w:spacing w:line="240" w:lineRule="auto"/>
        <w:ind w:left="567"/>
        <w:jc w:val="both"/>
      </w:pPr>
    </w:p>
    <w:p w:rsidR="00643F2F" w:rsidRPr="00F37D1B" w:rsidRDefault="00643F2F" w:rsidP="00643F2F">
      <w:pPr>
        <w:spacing w:line="240" w:lineRule="auto"/>
        <w:ind w:left="567"/>
        <w:jc w:val="both"/>
      </w:pPr>
    </w:p>
    <w:p w:rsidR="00643F2F" w:rsidRPr="00F37D1B" w:rsidRDefault="002C41AB">
      <w:pPr>
        <w:spacing w:line="240" w:lineRule="auto"/>
        <w:ind w:left="567"/>
        <w:jc w:val="both"/>
      </w:pPr>
      <w:r w:rsidRPr="00F37D1B">
        <w:t xml:space="preserve">Om aan te tonen dat zij </w:t>
      </w:r>
      <w:r w:rsidR="00367308" w:rsidRPr="00F37D1B">
        <w:t xml:space="preserve">gemachtigd zijn tot het uitoefenen van de </w:t>
      </w:r>
      <w:r w:rsidRPr="00F37D1B">
        <w:t xml:space="preserve"> beroepsactiviteiten die </w:t>
      </w:r>
      <w:r w:rsidR="00367308" w:rsidRPr="00F37D1B">
        <w:t xml:space="preserve">het voorwerp uitmaken van de </w:t>
      </w:r>
      <w:r w:rsidRPr="00F37D1B">
        <w:t xml:space="preserve">aankondiging </w:t>
      </w:r>
      <w:r w:rsidR="00367308" w:rsidRPr="00F37D1B">
        <w:t xml:space="preserve">, moeten de </w:t>
      </w:r>
      <w:r w:rsidRPr="00F37D1B">
        <w:t>inschrijvers</w:t>
      </w:r>
      <w:r w:rsidR="00367308" w:rsidRPr="00F37D1B">
        <w:t xml:space="preserve"> op</w:t>
      </w:r>
      <w:r w:rsidRPr="00F37D1B">
        <w:t xml:space="preserve"> vraag 5a van deze verklaring</w:t>
      </w:r>
      <w:r w:rsidR="00367308" w:rsidRPr="00F37D1B">
        <w:t xml:space="preserve"> antwoorden en</w:t>
      </w:r>
      <w:r w:rsidRPr="00F37D1B">
        <w:t xml:space="preserve"> een bewijs van inschrijving in het beroepsregister </w:t>
      </w:r>
      <w:r w:rsidR="00367308" w:rsidRPr="00F37D1B">
        <w:t>of handelsregister</w:t>
      </w:r>
      <w:r w:rsidRPr="00F37D1B">
        <w:t xml:space="preserve"> indienen, of een verklaring </w:t>
      </w:r>
      <w:r w:rsidR="00367308" w:rsidRPr="00F37D1B">
        <w:t xml:space="preserve">op erewoord </w:t>
      </w:r>
      <w:r w:rsidRPr="00F37D1B">
        <w:t xml:space="preserve"> of een getuigschrift in overeenstemming met de voorschriften </w:t>
      </w:r>
      <w:r w:rsidR="0021328B" w:rsidRPr="00F37D1B">
        <w:t>van</w:t>
      </w:r>
      <w:r w:rsidRPr="00F37D1B">
        <w:t xml:space="preserve"> de lidstaat waar zij zijn gevestigd </w:t>
      </w:r>
      <w:r w:rsidR="0021328B" w:rsidRPr="00F37D1B">
        <w:t xml:space="preserve"> </w:t>
      </w:r>
      <w:r w:rsidR="00367308" w:rsidRPr="00F37D1B">
        <w:t>indienen.</w:t>
      </w:r>
    </w:p>
    <w:p w:rsidR="00643F2F" w:rsidRPr="00F37D1B" w:rsidRDefault="00643F2F" w:rsidP="00643F2F">
      <w:pPr>
        <w:spacing w:line="240" w:lineRule="auto"/>
        <w:ind w:left="567"/>
        <w:jc w:val="both"/>
      </w:pPr>
    </w:p>
    <w:p w:rsidR="00B337F3" w:rsidRPr="00F37D1B" w:rsidRDefault="002C41AB" w:rsidP="00367308">
      <w:pPr>
        <w:spacing w:line="240" w:lineRule="auto"/>
        <w:ind w:left="567"/>
        <w:jc w:val="both"/>
      </w:pPr>
      <w:r w:rsidRPr="00F37D1B">
        <w:t xml:space="preserve">Om </w:t>
      </w:r>
      <w:r w:rsidR="00DF0FB4" w:rsidRPr="00F37D1B">
        <w:t xml:space="preserve">aan </w:t>
      </w:r>
      <w:r w:rsidRPr="00F37D1B">
        <w:t xml:space="preserve">te tonen dat ze over de economische en financiële draagkracht </w:t>
      </w:r>
      <w:r w:rsidR="00367308" w:rsidRPr="00F37D1B">
        <w:t xml:space="preserve">beschikken </w:t>
      </w:r>
      <w:r w:rsidRPr="00F37D1B">
        <w:t>om de</w:t>
      </w:r>
      <w:r w:rsidR="00367308" w:rsidRPr="00F37D1B">
        <w:t>ze</w:t>
      </w:r>
      <w:r w:rsidRPr="00F37D1B">
        <w:t xml:space="preserve"> opdracht uit te voeren </w:t>
      </w:r>
      <w:r w:rsidR="00367308" w:rsidRPr="00F37D1B">
        <w:t xml:space="preserve">moeten de inschrijvers </w:t>
      </w:r>
      <w:r w:rsidRPr="00F37D1B">
        <w:t xml:space="preserve"> </w:t>
      </w:r>
      <w:r w:rsidR="00367308" w:rsidRPr="00F37D1B">
        <w:t xml:space="preserve">de </w:t>
      </w:r>
      <w:r w:rsidRPr="00F37D1B">
        <w:t xml:space="preserve">vraag 5b van deze verklaring beantwoorden en </w:t>
      </w:r>
      <w:r w:rsidR="00367308" w:rsidRPr="00F37D1B">
        <w:t>het volgende in</w:t>
      </w:r>
      <w:r w:rsidRPr="00F37D1B">
        <w:t>dienen</w:t>
      </w:r>
      <w:r w:rsidR="00DF0FB4" w:rsidRPr="00F37D1B">
        <w:t>:</w:t>
      </w:r>
    </w:p>
    <w:p w:rsidR="00B337F3" w:rsidRPr="00B337F3" w:rsidRDefault="00B337F3" w:rsidP="00CC03B9">
      <w:pPr>
        <w:numPr>
          <w:ilvl w:val="0"/>
          <w:numId w:val="18"/>
        </w:numPr>
        <w:spacing w:after="120" w:line="240" w:lineRule="auto"/>
        <w:ind w:left="1208" w:hanging="357"/>
        <w:jc w:val="both"/>
      </w:pPr>
      <w:r>
        <w:t xml:space="preserve">Een afschrift van de jaarrekeningen en de exploitatierekeningen of van andere </w:t>
      </w:r>
      <w:r>
        <w:lastRenderedPageBreak/>
        <w:t>bewijsstukken voor de afgelopen drie jaar.</w:t>
      </w:r>
    </w:p>
    <w:p w:rsidR="009A51B3" w:rsidRDefault="00B337F3" w:rsidP="00F16718">
      <w:pPr>
        <w:numPr>
          <w:ilvl w:val="0"/>
          <w:numId w:val="18"/>
        </w:numPr>
        <w:spacing w:after="120" w:line="240" w:lineRule="auto"/>
        <w:ind w:left="1208" w:hanging="357"/>
        <w:jc w:val="both"/>
      </w:pPr>
      <w:r>
        <w:t xml:space="preserve">Een opgave van de totale omzet en van de omzet op het gebied van de leveringen en de diensten waarop de opdracht betrekking heeft, gerealiseerd in de loop van de laatste drie afgesloten boekjaren. </w:t>
      </w:r>
      <w:r>
        <w:rPr>
          <w:b/>
          <w:bCs/>
          <w:i/>
          <w:iCs/>
        </w:rPr>
        <w:t>Vereist specifiek minimumniveau: De omzet in verband met werkzaamheden voor het onderhoud van installaties voor het reinigen van gevels moet de laatste drie afgesloten boekjaren minimaal 70.000 € per jaar hebben bedragen.</w:t>
      </w:r>
    </w:p>
    <w:p w:rsidR="00CC03B9" w:rsidRPr="00262EA8" w:rsidRDefault="00CC03B9" w:rsidP="00CC03B9">
      <w:pPr>
        <w:spacing w:line="240" w:lineRule="auto"/>
        <w:ind w:left="851"/>
        <w:jc w:val="both"/>
      </w:pPr>
    </w:p>
    <w:p w:rsidR="00CC03B9" w:rsidRPr="00262EA8" w:rsidRDefault="00CC03B9" w:rsidP="00CC03B9">
      <w:pPr>
        <w:spacing w:line="240" w:lineRule="auto"/>
        <w:ind w:left="851"/>
        <w:jc w:val="both"/>
      </w:pPr>
    </w:p>
    <w:p w:rsidR="00CC03B9" w:rsidRPr="00DF0FB4" w:rsidRDefault="00DF0FB4" w:rsidP="000A4019">
      <w:pPr>
        <w:pStyle w:val="BodyTextIndent2"/>
        <w:spacing w:after="120" w:line="240" w:lineRule="auto"/>
        <w:ind w:left="567" w:firstLine="0"/>
        <w:jc w:val="both"/>
        <w:rPr>
          <w:szCs w:val="24"/>
        </w:rPr>
      </w:pPr>
      <w:r w:rsidRPr="00F37D1B">
        <w:t>Om aan te tonen dat zij over de technische capaciteit beschik</w:t>
      </w:r>
      <w:r w:rsidR="00367308" w:rsidRPr="00F37D1B">
        <w:t>ken</w:t>
      </w:r>
      <w:r w:rsidRPr="00F37D1B">
        <w:t xml:space="preserve"> om de</w:t>
      </w:r>
      <w:r w:rsidR="00367308" w:rsidRPr="00F37D1B">
        <w:t>ze</w:t>
      </w:r>
      <w:r w:rsidRPr="00F37D1B">
        <w:t xml:space="preserve"> opdracht uit te voeren moet de vraag 5c van deze verklaring </w:t>
      </w:r>
      <w:r w:rsidR="000A4019" w:rsidRPr="00F37D1B">
        <w:t>worden beantwoord en moet het volgende ingediend worden</w:t>
      </w:r>
      <w:r w:rsidRPr="00F37D1B">
        <w:t>:</w:t>
      </w:r>
    </w:p>
    <w:p w:rsidR="00B337F3" w:rsidRPr="00B337F3" w:rsidRDefault="00B337F3" w:rsidP="00CC03B9">
      <w:pPr>
        <w:numPr>
          <w:ilvl w:val="0"/>
          <w:numId w:val="18"/>
        </w:numPr>
        <w:spacing w:after="120" w:line="240" w:lineRule="auto"/>
        <w:ind w:left="1211"/>
        <w:jc w:val="both"/>
      </w:pPr>
      <w:r>
        <w:t>Documenten waaruit de beroeps- en technische bekwaamheid blijkt, evenals een beroepservaring van ten minste drie jaar voor het soort gevraagde werkzaamheden.</w:t>
      </w:r>
    </w:p>
    <w:p w:rsidR="00B337F3" w:rsidRPr="00B337F3" w:rsidRDefault="00B337F3" w:rsidP="00185EC7">
      <w:pPr>
        <w:numPr>
          <w:ilvl w:val="0"/>
          <w:numId w:val="18"/>
        </w:numPr>
        <w:spacing w:after="120" w:line="240" w:lineRule="auto"/>
        <w:ind w:left="1211"/>
        <w:jc w:val="both"/>
      </w:pPr>
      <w:r>
        <w:t xml:space="preserve">Een lijst van de voornaamste werkzaamheden, gelijkaardig als de gevraagde, die in de loop van de laatste drie jaar zijn verricht. Voor elke genoemde overeenkomst dient de inschrijver de bedragen, de data, alsmede de namen en de gegevens van de openbare of particuliere ontvanger over te leggen. Meer bepaald, moet de inschrijver voor de belangrijkste overeenkomsten die hij heeft uitgevoerd, nadere inlichtingen over de aard en de omvang van de verrichte werkzaamheden verstrekken. </w:t>
      </w:r>
      <w:r>
        <w:rPr>
          <w:b/>
          <w:bCs/>
          <w:i/>
          <w:iCs/>
        </w:rPr>
        <w:t>Vereist specifiek minimumniveau: ten minste 10 </w:t>
      </w:r>
      <w:r w:rsidR="00185EC7">
        <w:rPr>
          <w:b/>
          <w:bCs/>
          <w:i/>
          <w:iCs/>
        </w:rPr>
        <w:t xml:space="preserve">jaarlijks </w:t>
      </w:r>
      <w:r w:rsidR="00F16718">
        <w:rPr>
          <w:b/>
          <w:bCs/>
          <w:i/>
          <w:iCs/>
        </w:rPr>
        <w:t>"</w:t>
      </w:r>
      <w:r>
        <w:rPr>
          <w:b/>
          <w:bCs/>
          <w:i/>
          <w:iCs/>
        </w:rPr>
        <w:t>omnium</w:t>
      </w:r>
      <w:r w:rsidR="00F16718">
        <w:rPr>
          <w:b/>
          <w:bCs/>
          <w:i/>
          <w:iCs/>
        </w:rPr>
        <w:t>"</w:t>
      </w:r>
      <w:r>
        <w:rPr>
          <w:b/>
          <w:bCs/>
          <w:i/>
          <w:iCs/>
        </w:rPr>
        <w:t>-onderhoudscontracten.</w:t>
      </w:r>
    </w:p>
    <w:p w:rsidR="0060219F" w:rsidRPr="00B337F3" w:rsidRDefault="00B337F3" w:rsidP="00F16718">
      <w:pPr>
        <w:numPr>
          <w:ilvl w:val="0"/>
          <w:numId w:val="18"/>
        </w:numPr>
        <w:spacing w:after="120" w:line="240" w:lineRule="auto"/>
        <w:ind w:left="1211"/>
        <w:jc w:val="both"/>
      </w:pPr>
      <w:r>
        <w:t xml:space="preserve">Een opgave van de gemiddelde jaarlijkse personeelsbezetting van de inschrijvende onderneming en de omvang van haar staf gedurende de laatste drie jaar. </w:t>
      </w:r>
      <w:r>
        <w:rPr>
          <w:b/>
          <w:bCs/>
          <w:i/>
          <w:iCs/>
        </w:rPr>
        <w:t>Vereist</w:t>
      </w:r>
      <w:r w:rsidR="00845EE9">
        <w:rPr>
          <w:b/>
          <w:bCs/>
          <w:i/>
          <w:iCs/>
        </w:rPr>
        <w:t> </w:t>
      </w:r>
      <w:r>
        <w:rPr>
          <w:b/>
          <w:bCs/>
          <w:i/>
          <w:iCs/>
        </w:rPr>
        <w:t>specifiek minimumniveau: ten minste 10 onderhoudstechnici gedurende elk</w:t>
      </w:r>
      <w:r w:rsidR="00845EE9">
        <w:rPr>
          <w:b/>
          <w:bCs/>
          <w:i/>
          <w:iCs/>
        </w:rPr>
        <w:t> </w:t>
      </w:r>
      <w:r>
        <w:rPr>
          <w:b/>
          <w:bCs/>
          <w:i/>
          <w:iCs/>
        </w:rPr>
        <w:t>van de laatste drie jaar.</w:t>
      </w:r>
      <w:r>
        <w:t xml:space="preserve"> </w:t>
      </w:r>
    </w:p>
    <w:p w:rsidR="009D210D" w:rsidRDefault="00B337F3" w:rsidP="00823D67">
      <w:pPr>
        <w:numPr>
          <w:ilvl w:val="0"/>
          <w:numId w:val="18"/>
        </w:numPr>
        <w:spacing w:after="120" w:line="240" w:lineRule="auto"/>
        <w:ind w:left="1211"/>
        <w:jc w:val="both"/>
      </w:pPr>
      <w:r>
        <w:t>Een beschrijving van de middelen waarover de gegadigde beschikt om actie te kunnen ondernemen binnen de bij de overeenkomst opgelegde spoedtermijnen (2 uur 0</w:t>
      </w:r>
      <w:r w:rsidR="00823D67">
        <w:t>6</w:t>
      </w:r>
      <w:r>
        <w:t>h-17h en 3 uur 17h-</w:t>
      </w:r>
      <w:r w:rsidR="00823D67">
        <w:t>6</w:t>
      </w:r>
      <w:r>
        <w:t xml:space="preserve">h en in het WE). </w:t>
      </w:r>
      <w:r>
        <w:rPr>
          <w:b/>
          <w:bCs/>
          <w:i/>
          <w:iCs/>
        </w:rPr>
        <w:t>Vereist specifiek minimumniveau: Gegadigden dienen te beschikken over een meldkamer die 24/24 7/7 bereikbaar is, en over een team dat</w:t>
      </w:r>
      <w:r w:rsidR="00845EE9">
        <w:rPr>
          <w:b/>
          <w:bCs/>
          <w:i/>
          <w:iCs/>
        </w:rPr>
        <w:t> </w:t>
      </w:r>
      <w:r>
        <w:rPr>
          <w:b/>
          <w:bCs/>
          <w:i/>
          <w:iCs/>
        </w:rPr>
        <w:t>24/24 7/7 beschikbaar is.</w:t>
      </w:r>
      <w:r>
        <w:t xml:space="preserve"> </w:t>
      </w:r>
      <w:bookmarkEnd w:id="12"/>
    </w:p>
    <w:p w:rsidR="00491684" w:rsidRDefault="009D210D" w:rsidP="009D210D">
      <w:pPr>
        <w:spacing w:after="120" w:line="240" w:lineRule="auto"/>
        <w:ind w:left="1211"/>
        <w:jc w:val="both"/>
      </w:pPr>
      <w:r>
        <w:br w:type="page"/>
      </w:r>
    </w:p>
    <w:p w:rsidR="0060219F" w:rsidRPr="00D27AB9" w:rsidRDefault="0060219F" w:rsidP="0027654E">
      <w:pPr>
        <w:pStyle w:val="Heading3"/>
        <w:numPr>
          <w:ilvl w:val="0"/>
          <w:numId w:val="0"/>
        </w:numPr>
        <w:rPr>
          <w:b/>
          <w:i w:val="0"/>
        </w:rPr>
      </w:pPr>
      <w:bookmarkStart w:id="13" w:name="_Toc447616537"/>
      <w:bookmarkStart w:id="14" w:name="_Toc459787955"/>
      <w:r>
        <w:rPr>
          <w:b/>
          <w:i w:val="0"/>
        </w:rPr>
        <w:t>1.3</w:t>
      </w:r>
      <w:r w:rsidR="00DA5A7B">
        <w:rPr>
          <w:b/>
          <w:i w:val="0"/>
        </w:rPr>
        <w:t>.</w:t>
      </w:r>
      <w:r>
        <w:rPr>
          <w:b/>
          <w:i w:val="0"/>
        </w:rPr>
        <w:tab/>
        <w:t>Technische offerte</w:t>
      </w:r>
      <w:bookmarkEnd w:id="13"/>
      <w:bookmarkEnd w:id="14"/>
    </w:p>
    <w:p w:rsidR="0060219F" w:rsidRPr="00262EA8" w:rsidRDefault="0060219F" w:rsidP="0060219F">
      <w:pPr>
        <w:spacing w:line="240" w:lineRule="auto"/>
        <w:ind w:left="567"/>
        <w:jc w:val="both"/>
      </w:pPr>
    </w:p>
    <w:p w:rsidR="0060219F" w:rsidRPr="00360EA6" w:rsidRDefault="0060219F" w:rsidP="0027654E">
      <w:pPr>
        <w:ind w:firstLine="567"/>
        <w:jc w:val="both"/>
        <w:rPr>
          <w:b/>
          <w:bCs/>
        </w:rPr>
      </w:pPr>
      <w:r>
        <w:rPr>
          <w:b/>
          <w:bCs/>
        </w:rPr>
        <w:t>1.3.1. Algemene vereisten met betrekking tot de technische offerte</w:t>
      </w:r>
    </w:p>
    <w:p w:rsidR="0060219F" w:rsidRPr="00360EA6" w:rsidRDefault="0060219F" w:rsidP="00845EE9">
      <w:pPr>
        <w:spacing w:line="240" w:lineRule="auto"/>
        <w:ind w:left="567"/>
        <w:jc w:val="both"/>
      </w:pPr>
      <w:bookmarkStart w:id="15" w:name="_Toc254182798"/>
      <w:r>
        <w:t>De technische offertes dienen begrijpelijk, leesbaar, duidelijk en coherent te zijn. Het is onontbeerlijk dat op alle specificatievereisten gedetailleerd en volledig wordt geantwoord. De</w:t>
      </w:r>
      <w:r w:rsidR="00845EE9">
        <w:t> </w:t>
      </w:r>
      <w:r>
        <w:t>antwoorden moeten een uitputtende en betrouwbare weerspiegeling van de voorstellen zijn, en alle nodige uitleg verschaffen om, in het licht van de toekenningscriteria van de opdracht, de voorstellen uitsluitend op basis van hun kwaliteit te kunnen beoordelen.</w:t>
      </w:r>
    </w:p>
    <w:p w:rsidR="0060219F" w:rsidRPr="00262EA8" w:rsidRDefault="0060219F" w:rsidP="0060219F">
      <w:pPr>
        <w:spacing w:line="240" w:lineRule="auto"/>
        <w:ind w:left="567"/>
        <w:jc w:val="both"/>
      </w:pPr>
    </w:p>
    <w:p w:rsidR="0060219F" w:rsidRPr="00360EA6" w:rsidRDefault="0060219F" w:rsidP="0060219F">
      <w:pPr>
        <w:spacing w:line="240" w:lineRule="auto"/>
        <w:ind w:left="567"/>
        <w:jc w:val="both"/>
      </w:pPr>
      <w:r>
        <w:t>Een eenvoudige verklaring zonder meer dat aan een voorwaarde kan worden voldaan, of het overnemen van een deel van de specificaties, wordt niet als een passend antwoord beschouwd.</w:t>
      </w:r>
    </w:p>
    <w:p w:rsidR="0060219F" w:rsidRPr="00262EA8" w:rsidRDefault="0060219F" w:rsidP="0060219F">
      <w:pPr>
        <w:spacing w:line="240" w:lineRule="auto"/>
        <w:jc w:val="both"/>
        <w:rPr>
          <w:b/>
          <w:bCs/>
        </w:rPr>
      </w:pPr>
    </w:p>
    <w:p w:rsidR="0060219F" w:rsidRPr="00360EA6" w:rsidRDefault="0060219F" w:rsidP="0027654E">
      <w:pPr>
        <w:ind w:firstLine="567"/>
        <w:jc w:val="both"/>
        <w:rPr>
          <w:b/>
          <w:bCs/>
        </w:rPr>
      </w:pPr>
      <w:r>
        <w:rPr>
          <w:b/>
          <w:bCs/>
        </w:rPr>
        <w:t>1.3.2. Specifieke punten die in de technische offerte moeten worden behandeld:</w:t>
      </w:r>
      <w:bookmarkEnd w:id="15"/>
    </w:p>
    <w:p w:rsidR="0060219F" w:rsidRDefault="0060219F" w:rsidP="0060219F">
      <w:pPr>
        <w:spacing w:line="240" w:lineRule="auto"/>
        <w:ind w:left="567"/>
        <w:jc w:val="both"/>
      </w:pPr>
      <w:r>
        <w:t>De te behandelen punten hebben betrekking op de conformiteits- en toewijzingscriteria en op de andere elementen die nodig zijn</w:t>
      </w:r>
      <w:bookmarkStart w:id="16" w:name="_Toc254182799"/>
      <w:r>
        <w:t xml:space="preserve"> voor de beoordeling van de offertes (zie bijlage I - bestek, punt IV - criteria voor gunning van de opdracht). De inschrijvers moeten in hun technische offerte meer bepaald de volgende elementen opnemen:</w:t>
      </w:r>
    </w:p>
    <w:p w:rsidR="0060219F" w:rsidRPr="00262EA8" w:rsidRDefault="0060219F" w:rsidP="0060219F">
      <w:pPr>
        <w:spacing w:line="240" w:lineRule="auto"/>
        <w:ind w:left="567"/>
        <w:jc w:val="both"/>
      </w:pPr>
    </w:p>
    <w:p w:rsidR="0060219F" w:rsidRPr="00DC21B7" w:rsidRDefault="00DC21B7" w:rsidP="00DC21B7">
      <w:pPr>
        <w:numPr>
          <w:ilvl w:val="0"/>
          <w:numId w:val="18"/>
        </w:numPr>
        <w:tabs>
          <w:tab w:val="left" w:pos="851"/>
        </w:tabs>
        <w:spacing w:line="240" w:lineRule="auto"/>
        <w:ind w:left="1211"/>
        <w:jc w:val="both"/>
      </w:pPr>
      <w:r>
        <w:t xml:space="preserve">Een verklaring dat zij alle diensten zullen leveren die staan beschreven in bijlage 2 bij het bestek: Functionele en technische specificaties. </w:t>
      </w:r>
    </w:p>
    <w:p w:rsidR="0060219F" w:rsidRPr="00262EA8" w:rsidRDefault="0060219F" w:rsidP="0060219F">
      <w:pPr>
        <w:tabs>
          <w:tab w:val="left" w:pos="851"/>
        </w:tabs>
        <w:spacing w:line="240" w:lineRule="auto"/>
        <w:ind w:left="851"/>
        <w:jc w:val="both"/>
        <w:rPr>
          <w:highlight w:val="cyan"/>
        </w:rPr>
      </w:pPr>
    </w:p>
    <w:p w:rsidR="00DC21B7" w:rsidRPr="00262EA8" w:rsidRDefault="00DC21B7" w:rsidP="0060219F">
      <w:pPr>
        <w:tabs>
          <w:tab w:val="left" w:pos="851"/>
        </w:tabs>
        <w:spacing w:line="240" w:lineRule="auto"/>
        <w:ind w:left="851"/>
        <w:jc w:val="both"/>
        <w:rPr>
          <w:highlight w:val="cyan"/>
        </w:rPr>
      </w:pPr>
    </w:p>
    <w:p w:rsidR="00DC21B7" w:rsidRPr="00262EA8" w:rsidRDefault="00DC21B7" w:rsidP="0060219F">
      <w:pPr>
        <w:tabs>
          <w:tab w:val="left" w:pos="851"/>
        </w:tabs>
        <w:spacing w:line="240" w:lineRule="auto"/>
        <w:ind w:left="851"/>
        <w:jc w:val="both"/>
        <w:rPr>
          <w:highlight w:val="cyan"/>
        </w:rPr>
      </w:pPr>
    </w:p>
    <w:p w:rsidR="0060219F" w:rsidRPr="003F2557" w:rsidRDefault="0060219F" w:rsidP="0027654E">
      <w:pPr>
        <w:ind w:firstLine="567"/>
        <w:jc w:val="both"/>
        <w:rPr>
          <w:b/>
          <w:bCs/>
        </w:rPr>
      </w:pPr>
      <w:bookmarkStart w:id="17" w:name="_Toc254182800"/>
      <w:bookmarkEnd w:id="16"/>
      <w:r>
        <w:rPr>
          <w:b/>
          <w:bCs/>
        </w:rPr>
        <w:t>1.3.3</w:t>
      </w:r>
      <w:r w:rsidR="00DA5A7B">
        <w:rPr>
          <w:b/>
          <w:bCs/>
        </w:rPr>
        <w:t>.</w:t>
      </w:r>
      <w:r>
        <w:rPr>
          <w:b/>
          <w:bCs/>
        </w:rPr>
        <w:t xml:space="preserve"> Bijlagen bij de technische offerte</w:t>
      </w:r>
      <w:bookmarkEnd w:id="17"/>
    </w:p>
    <w:p w:rsidR="0060219F" w:rsidRPr="00491684" w:rsidRDefault="0060219F" w:rsidP="0060219F">
      <w:pPr>
        <w:spacing w:line="240" w:lineRule="auto"/>
        <w:ind w:left="567"/>
        <w:jc w:val="both"/>
      </w:pPr>
      <w:r>
        <w:t>De bijlagen bevatten informatie die de inschrijver moeilijk in de tekst of in een noot kan opnemen, alsook niet-essentiële informatie waarvan de aanbestedende dienst toch beter kennis kan nemen. De specificaties of de onderdelen van de offerte waarop de genoemde bijlagen betrekking hebben, moeten duidelijk worden vermeld.</w:t>
      </w:r>
    </w:p>
    <w:p w:rsidR="0060219F" w:rsidRPr="00262EA8" w:rsidRDefault="0060219F" w:rsidP="0060219F">
      <w:pPr>
        <w:spacing w:line="240" w:lineRule="auto"/>
        <w:ind w:left="240" w:right="-54"/>
        <w:jc w:val="both"/>
      </w:pPr>
    </w:p>
    <w:p w:rsidR="0060219F" w:rsidRPr="00491684" w:rsidRDefault="0060219F" w:rsidP="0060219F">
      <w:pPr>
        <w:spacing w:line="240" w:lineRule="auto"/>
        <w:ind w:left="567"/>
        <w:jc w:val="both"/>
      </w:pPr>
      <w:r>
        <w:t xml:space="preserve">Voor een goed begrip van de offerte moeten de bijlagen een noodzakelijke aanvulling vormen, met het oog op volledigheid van de tekst. </w:t>
      </w:r>
    </w:p>
    <w:p w:rsidR="0060219F" w:rsidRPr="00262EA8" w:rsidRDefault="0060219F" w:rsidP="0060219F">
      <w:pPr>
        <w:spacing w:line="240" w:lineRule="auto"/>
        <w:jc w:val="both"/>
      </w:pPr>
    </w:p>
    <w:p w:rsidR="0060219F" w:rsidRDefault="0060219F" w:rsidP="0060219F">
      <w:pPr>
        <w:spacing w:line="240" w:lineRule="auto"/>
        <w:ind w:left="567"/>
        <w:jc w:val="both"/>
      </w:pPr>
      <w:r>
        <w:t>Gewoonlijk bevatten de bijlagen beschrijvingen, technische gegevens, catalogi, foto</w:t>
      </w:r>
      <w:r w:rsidR="00262EA8">
        <w:t>'</w:t>
      </w:r>
      <w:r>
        <w:t xml:space="preserve">s, enz. </w:t>
      </w:r>
    </w:p>
    <w:p w:rsidR="00CC03B9" w:rsidRPr="00CC03B9" w:rsidRDefault="009D210D" w:rsidP="00CC03B9">
      <w:pPr>
        <w:spacing w:line="240" w:lineRule="auto"/>
        <w:ind w:left="851"/>
        <w:jc w:val="both"/>
      </w:pPr>
      <w:r>
        <w:br w:type="page"/>
      </w:r>
    </w:p>
    <w:p w:rsidR="003F2557" w:rsidRPr="003F2557" w:rsidRDefault="003F2557" w:rsidP="0027654E">
      <w:pPr>
        <w:ind w:firstLine="567"/>
        <w:jc w:val="both"/>
        <w:rPr>
          <w:b/>
          <w:bCs/>
        </w:rPr>
      </w:pPr>
      <w:r>
        <w:rPr>
          <w:b/>
          <w:bCs/>
        </w:rPr>
        <w:t>1.3.4</w:t>
      </w:r>
      <w:r w:rsidR="00DA5A7B">
        <w:rPr>
          <w:b/>
          <w:bCs/>
        </w:rPr>
        <w:t>.</w:t>
      </w:r>
      <w:r>
        <w:rPr>
          <w:b/>
          <w:bCs/>
        </w:rPr>
        <w:t xml:space="preserve"> Opmerkingen</w:t>
      </w:r>
    </w:p>
    <w:p w:rsidR="003F2557" w:rsidRPr="00360EA6" w:rsidRDefault="003F2557" w:rsidP="003F2557">
      <w:pPr>
        <w:spacing w:line="240" w:lineRule="auto"/>
        <w:ind w:left="567"/>
        <w:jc w:val="both"/>
      </w:pPr>
      <w:r>
        <w:t xml:space="preserve">Inschrijvers kunnen vóór de sluitingsdatum van inschrijving en conform de in punt </w:t>
      </w:r>
      <w:r w:rsidRPr="00360EA6">
        <w:fldChar w:fldCharType="begin"/>
      </w:r>
      <w:r w:rsidRPr="00360EA6">
        <w:instrText xml:space="preserve"> REF _Ref227637584 \r \h  \* MERGEFORMAT </w:instrText>
      </w:r>
      <w:r w:rsidRPr="00360EA6">
        <w:fldChar w:fldCharType="separate"/>
      </w:r>
      <w:r w:rsidR="00D73A63">
        <w:rPr>
          <w:cs/>
        </w:rPr>
        <w:t>‎</w:t>
      </w:r>
      <w:r w:rsidR="00D73A63">
        <w:rPr>
          <w:rtl/>
          <w:cs/>
        </w:rPr>
        <w:t>V.2</w:t>
      </w:r>
      <w:r w:rsidRPr="00360EA6">
        <w:fldChar w:fldCharType="end"/>
      </w:r>
      <w:r>
        <w:t>. bedoelde regels, een met redenen omkleed bezwaar indienen tegen elke bepaling van de inschrijvingsdocumenten die zij discriminerend achten.</w:t>
      </w:r>
    </w:p>
    <w:p w:rsidR="003F2557" w:rsidRPr="00262EA8" w:rsidRDefault="003F2557" w:rsidP="003F2557">
      <w:pPr>
        <w:spacing w:line="240" w:lineRule="auto"/>
        <w:ind w:left="567"/>
        <w:jc w:val="both"/>
      </w:pPr>
    </w:p>
    <w:p w:rsidR="003F2557" w:rsidRPr="00360EA6" w:rsidRDefault="003F2557" w:rsidP="003F2557">
      <w:pPr>
        <w:spacing w:line="240" w:lineRule="auto"/>
        <w:ind w:left="567"/>
        <w:jc w:val="both"/>
      </w:pPr>
      <w:r>
        <w:t>Elke offerte waarin voorbehouden of opmerkingen met dezelfde strekking zijn vermeld</w:t>
      </w:r>
      <w:r>
        <w:rPr>
          <w:rStyle w:val="FootnoteReference"/>
          <w:lang w:val="fr-BE"/>
        </w:rPr>
        <w:footnoteReference w:id="3"/>
      </w:r>
      <w:r>
        <w:t>, wordt als onregelmatig beschouwd.</w:t>
      </w:r>
    </w:p>
    <w:p w:rsidR="00814EA5" w:rsidRPr="00262EA8" w:rsidRDefault="00814EA5" w:rsidP="00825EAF">
      <w:pPr>
        <w:spacing w:line="240" w:lineRule="auto"/>
        <w:ind w:left="567"/>
        <w:jc w:val="both"/>
      </w:pPr>
    </w:p>
    <w:p w:rsidR="00814EA5" w:rsidRPr="00D27AB9" w:rsidRDefault="00D27AB9" w:rsidP="009A3535">
      <w:pPr>
        <w:pStyle w:val="Heading3"/>
        <w:numPr>
          <w:ilvl w:val="0"/>
          <w:numId w:val="0"/>
        </w:numPr>
        <w:rPr>
          <w:b/>
          <w:i w:val="0"/>
        </w:rPr>
      </w:pPr>
      <w:bookmarkStart w:id="18" w:name="_Toc254182802"/>
      <w:bookmarkStart w:id="19" w:name="_Toc447616538"/>
      <w:bookmarkStart w:id="20" w:name="_Toc459787956"/>
      <w:r>
        <w:rPr>
          <w:b/>
          <w:i w:val="0"/>
        </w:rPr>
        <w:t>1.</w:t>
      </w:r>
      <w:r w:rsidR="009A3535">
        <w:rPr>
          <w:b/>
          <w:i w:val="0"/>
        </w:rPr>
        <w:t>3</w:t>
      </w:r>
      <w:r w:rsidR="00DA5A7B">
        <w:rPr>
          <w:b/>
          <w:i w:val="0"/>
        </w:rPr>
        <w:t>.</w:t>
      </w:r>
      <w:r>
        <w:rPr>
          <w:b/>
          <w:i w:val="0"/>
        </w:rPr>
        <w:tab/>
        <w:t>Financiële offerte</w:t>
      </w:r>
      <w:bookmarkEnd w:id="18"/>
      <w:bookmarkEnd w:id="19"/>
      <w:bookmarkEnd w:id="20"/>
    </w:p>
    <w:p w:rsidR="00CB519C" w:rsidRPr="00262EA8" w:rsidRDefault="00CB519C" w:rsidP="009226E8">
      <w:pPr>
        <w:spacing w:line="240" w:lineRule="auto"/>
        <w:ind w:left="567"/>
        <w:jc w:val="both"/>
      </w:pPr>
    </w:p>
    <w:p w:rsidR="00CB519C" w:rsidRDefault="00CB519C" w:rsidP="00CC03B9">
      <w:pPr>
        <w:spacing w:after="120" w:line="240" w:lineRule="auto"/>
        <w:ind w:left="567"/>
        <w:jc w:val="both"/>
      </w:pPr>
      <w:r>
        <w:t>De inschrijvers moeten in hun financiële offerte de volgende elementen opnemen:</w:t>
      </w:r>
    </w:p>
    <w:p w:rsidR="009540D0" w:rsidRPr="00B337F3" w:rsidRDefault="00B337F3" w:rsidP="00CC03B9">
      <w:pPr>
        <w:numPr>
          <w:ilvl w:val="0"/>
          <w:numId w:val="22"/>
        </w:numPr>
        <w:spacing w:after="120" w:line="240" w:lineRule="auto"/>
        <w:jc w:val="both"/>
      </w:pPr>
      <w:r>
        <w:t>Ingevuld financieel inschrijvingsformulier (bijlage 3 bij het bestek)</w:t>
      </w:r>
    </w:p>
    <w:p w:rsidR="000C45ED" w:rsidRPr="00262EA8" w:rsidRDefault="000C45ED" w:rsidP="00825EAF">
      <w:pPr>
        <w:spacing w:line="240" w:lineRule="auto"/>
        <w:ind w:left="567"/>
        <w:jc w:val="both"/>
      </w:pPr>
    </w:p>
    <w:p w:rsidR="00814EA5" w:rsidRDefault="00814EA5" w:rsidP="00825EAF">
      <w:pPr>
        <w:spacing w:line="240" w:lineRule="auto"/>
        <w:ind w:left="567"/>
        <w:jc w:val="both"/>
      </w:pPr>
      <w:r>
        <w:t>In de bijlage bij de financiële offerte dient alle aanvullende informatie te worden opgenomen die een goed begrip van de financiële offerte kan bevorderen.</w:t>
      </w:r>
    </w:p>
    <w:p w:rsidR="009226E8" w:rsidRPr="00262EA8" w:rsidRDefault="009226E8" w:rsidP="00825EAF">
      <w:pPr>
        <w:spacing w:line="240" w:lineRule="auto"/>
        <w:ind w:left="567"/>
        <w:jc w:val="both"/>
      </w:pPr>
    </w:p>
    <w:p w:rsidR="00814EA5" w:rsidRPr="00360EA6" w:rsidRDefault="00814EA5" w:rsidP="009226E8">
      <w:pPr>
        <w:spacing w:line="240" w:lineRule="auto"/>
        <w:ind w:left="567"/>
        <w:jc w:val="both"/>
      </w:pPr>
      <w:r>
        <w:t>De financiële offerte moet duidelijk en nauwkeurig zijn. Offertes die vermeldingen bevatten waardoor zij niet kunnen worden vergeleken met andere offertes (zoals "te bespreken", "afhankelijk van x", "niet inbegrepen", enz.) worden als onregelmatig beschouwd en worden afgewezen. Dat geldt ook voor offertes waarin wordt verwezen naar externe elementen die niet uitdrukkelijk in de offerte zijn opgenomen (zoals verwijzingen naar bestaande, maar verschillende overeenkomsten).</w:t>
      </w:r>
    </w:p>
    <w:p w:rsidR="00814EA5" w:rsidRPr="00262EA8" w:rsidRDefault="00814EA5" w:rsidP="009226E8">
      <w:pPr>
        <w:spacing w:line="240" w:lineRule="auto"/>
        <w:ind w:left="567"/>
        <w:jc w:val="both"/>
      </w:pPr>
    </w:p>
    <w:p w:rsidR="00814EA5" w:rsidRPr="00360EA6" w:rsidRDefault="00814EA5" w:rsidP="00825EAF">
      <w:pPr>
        <w:pStyle w:val="Heading2"/>
        <w:numPr>
          <w:ilvl w:val="1"/>
          <w:numId w:val="11"/>
        </w:numPr>
        <w:tabs>
          <w:tab w:val="clear" w:pos="851"/>
        </w:tabs>
        <w:ind w:left="0" w:firstLine="0"/>
      </w:pPr>
      <w:bookmarkStart w:id="21" w:name="_Toc254182803"/>
      <w:bookmarkStart w:id="22" w:name="_Toc447616539"/>
      <w:bookmarkStart w:id="23" w:name="_Toc459787957"/>
      <w:r>
        <w:t>Talen</w:t>
      </w:r>
      <w:bookmarkEnd w:id="21"/>
      <w:bookmarkEnd w:id="22"/>
      <w:bookmarkEnd w:id="23"/>
    </w:p>
    <w:p w:rsidR="00814EA5" w:rsidRPr="00360EA6" w:rsidRDefault="00814EA5" w:rsidP="00781A63">
      <w:pPr>
        <w:spacing w:line="240" w:lineRule="auto"/>
        <w:ind w:left="567"/>
        <w:jc w:val="both"/>
      </w:pPr>
      <w:r>
        <w:t xml:space="preserve">De offertes moeten gesteld zijn in een van de officiële talen van de Europese Unie, te weten Bulgaars, Deens, Duits, Engels, Ests, Fins, Frans, Grieks, Hongaars, Iers, Italiaans, Kroatisch, Lets, Litouws, Maltees, Nederlands, Pools, Portugees, Roemeens, Sloveens, Slowaaks, Spaans, Tsjechisch of Zweeds. </w:t>
      </w:r>
    </w:p>
    <w:p w:rsidR="00814EA5" w:rsidRPr="00262EA8" w:rsidRDefault="00814EA5" w:rsidP="00825EAF">
      <w:pPr>
        <w:spacing w:line="240" w:lineRule="auto"/>
        <w:jc w:val="both"/>
      </w:pPr>
    </w:p>
    <w:p w:rsidR="00814EA5" w:rsidRPr="00360EA6" w:rsidRDefault="00814EA5" w:rsidP="00825EAF">
      <w:pPr>
        <w:spacing w:line="240" w:lineRule="auto"/>
        <w:ind w:left="567"/>
        <w:jc w:val="both"/>
      </w:pPr>
      <w:r>
        <w:t>Het comité van het secretariaat dat de offertes beoordeelt, kan besluiten een offerte te laten vertalen wanneer het dat nodig acht om de offerte te kunnen begrijpen.</w:t>
      </w:r>
    </w:p>
    <w:p w:rsidR="00814EA5" w:rsidRPr="00360EA6" w:rsidRDefault="009D210D" w:rsidP="00825EAF">
      <w:pPr>
        <w:pStyle w:val="Heading2"/>
        <w:numPr>
          <w:ilvl w:val="1"/>
          <w:numId w:val="11"/>
        </w:numPr>
        <w:tabs>
          <w:tab w:val="clear" w:pos="851"/>
        </w:tabs>
        <w:ind w:left="0" w:firstLine="0"/>
      </w:pPr>
      <w:bookmarkStart w:id="24" w:name="_Toc254182804"/>
      <w:bookmarkStart w:id="25" w:name="_Toc447616540"/>
      <w:r>
        <w:br w:type="page"/>
      </w:r>
      <w:bookmarkStart w:id="26" w:name="_Toc459787958"/>
      <w:r>
        <w:lastRenderedPageBreak/>
        <w:t>Aantal exemplaren en formaat:</w:t>
      </w:r>
      <w:bookmarkEnd w:id="24"/>
      <w:bookmarkEnd w:id="25"/>
      <w:bookmarkEnd w:id="26"/>
    </w:p>
    <w:p w:rsidR="009E3045" w:rsidRDefault="009E3045" w:rsidP="00825EAF">
      <w:pPr>
        <w:spacing w:line="240" w:lineRule="auto"/>
        <w:ind w:left="567"/>
        <w:jc w:val="both"/>
        <w:rPr>
          <w:lang w:val="fr-BE"/>
        </w:rPr>
      </w:pPr>
    </w:p>
    <w:p w:rsidR="009E3045" w:rsidRDefault="009E3045" w:rsidP="00F16718">
      <w:pPr>
        <w:spacing w:line="240" w:lineRule="auto"/>
        <w:ind w:left="567"/>
        <w:jc w:val="both"/>
      </w:pPr>
      <w:r>
        <w:t xml:space="preserve">De verzending of de afgifte van de offertes moet op de volgende manier geschieden: </w:t>
      </w:r>
    </w:p>
    <w:p w:rsidR="009E3045" w:rsidRPr="00262EA8" w:rsidRDefault="009E3045" w:rsidP="00825EAF">
      <w:pPr>
        <w:spacing w:line="240" w:lineRule="auto"/>
        <w:ind w:left="567"/>
        <w:jc w:val="both"/>
      </w:pPr>
    </w:p>
    <w:p w:rsidR="009540D0" w:rsidRPr="00262EA8" w:rsidRDefault="009540D0" w:rsidP="006F798D">
      <w:pPr>
        <w:pStyle w:val="Normal05"/>
        <w:ind w:left="1004"/>
      </w:pPr>
    </w:p>
    <w:p w:rsidR="006F798D" w:rsidRDefault="00B2678C" w:rsidP="006F798D">
      <w:pPr>
        <w:pStyle w:val="Normal05"/>
        <w:numPr>
          <w:ilvl w:val="0"/>
          <w:numId w:val="12"/>
        </w:numPr>
      </w:pPr>
      <w:r>
        <w:t xml:space="preserve"> </w:t>
      </w:r>
      <w:r>
        <w:rPr>
          <w:b/>
        </w:rPr>
        <w:t>financiële offerte:</w:t>
      </w:r>
      <w:r>
        <w:t xml:space="preserve"> 3 exemplaren, waarvan 1 origineel en 2 kopieën, waarop duidelijk </w:t>
      </w:r>
    </w:p>
    <w:p w:rsidR="00814EA5" w:rsidRDefault="006F798D" w:rsidP="006F798D">
      <w:pPr>
        <w:pStyle w:val="Normal05"/>
        <w:ind w:left="1004"/>
      </w:pPr>
      <w:r>
        <w:t>"origineel" en "kopie" is vermeld.</w:t>
      </w:r>
    </w:p>
    <w:p w:rsidR="00600ED6" w:rsidRDefault="00600ED6" w:rsidP="00600ED6">
      <w:pPr>
        <w:pStyle w:val="Normal05"/>
        <w:numPr>
          <w:ilvl w:val="0"/>
          <w:numId w:val="12"/>
        </w:numPr>
      </w:pPr>
      <w:r w:rsidRPr="00600ED6">
        <w:t xml:space="preserve">alle andere documenten: 1 </w:t>
      </w:r>
      <w:r>
        <w:t>exemplaar.</w:t>
      </w:r>
    </w:p>
    <w:p w:rsidR="006F798D" w:rsidRPr="00262EA8" w:rsidRDefault="006F798D" w:rsidP="006F798D">
      <w:pPr>
        <w:pStyle w:val="Normal05"/>
        <w:ind w:left="1004"/>
        <w:jc w:val="both"/>
      </w:pPr>
    </w:p>
    <w:p w:rsidR="00814EA5" w:rsidRPr="006F798D" w:rsidRDefault="00B2678C" w:rsidP="00EF454D">
      <w:pPr>
        <w:pStyle w:val="Normal05"/>
        <w:ind w:left="567"/>
        <w:rPr>
          <w:b/>
          <w:bCs/>
        </w:rPr>
      </w:pPr>
      <w:r>
        <w:rPr>
          <w:b/>
          <w:bCs/>
        </w:rPr>
        <w:t>Het origineel van de financiële offerte wordt door de daartoe naar behoren gemachtigde vertegenwoordiger van de inschrijver gedateerd en ondertekend.</w:t>
      </w:r>
      <w:r>
        <w:rPr>
          <w:b/>
          <w:bCs/>
        </w:rPr>
        <w:br/>
      </w:r>
    </w:p>
    <w:p w:rsidR="00F658DD" w:rsidRDefault="00F658DD" w:rsidP="00EF454D">
      <w:pPr>
        <w:pStyle w:val="Normal05"/>
        <w:ind w:left="567"/>
        <w:jc w:val="both"/>
      </w:pPr>
      <w:r>
        <w:t>Om de evaluatie te vergemakkelijken, moeten de inschrijvers bij hun offerte op papier een afzonderlijke elektronische versie voegen (bijvoorbeeld op cd-rom). Het bestandsformaat moet compatibel zijn met het formaat van de Microsoft Office-standaardsuite (Word, Excel, PowerPoint, enz.).</w:t>
      </w:r>
    </w:p>
    <w:p w:rsidR="00F658DD" w:rsidRPr="00262EA8" w:rsidRDefault="00F658DD" w:rsidP="001A76B5">
      <w:pPr>
        <w:pStyle w:val="Normal05"/>
        <w:ind w:left="567"/>
        <w:jc w:val="both"/>
      </w:pPr>
    </w:p>
    <w:p w:rsidR="00F658DD" w:rsidRDefault="00F658DD" w:rsidP="006F798D">
      <w:pPr>
        <w:pStyle w:val="Normal05"/>
        <w:ind w:left="567"/>
        <w:jc w:val="both"/>
      </w:pPr>
      <w:r>
        <w:t>In geval van afwijkingen prevaleert de versie op papier boven de elektronische versie.</w:t>
      </w:r>
    </w:p>
    <w:p w:rsidR="00814EA5" w:rsidRPr="00360EA6" w:rsidRDefault="00814EA5" w:rsidP="00825EAF">
      <w:pPr>
        <w:pStyle w:val="Heading1"/>
        <w:tabs>
          <w:tab w:val="clear" w:pos="851"/>
        </w:tabs>
        <w:ind w:left="567" w:hanging="567"/>
      </w:pPr>
      <w:bookmarkStart w:id="27" w:name="_Toc254182807"/>
      <w:bookmarkStart w:id="28" w:name="_Toc447616541"/>
      <w:bookmarkStart w:id="29" w:name="_Toc459787959"/>
      <w:r>
        <w:t>Toezending van de offertes</w:t>
      </w:r>
      <w:bookmarkEnd w:id="27"/>
      <w:bookmarkEnd w:id="28"/>
      <w:bookmarkEnd w:id="29"/>
    </w:p>
    <w:p w:rsidR="002704D2" w:rsidRDefault="009E3045" w:rsidP="00825EAF">
      <w:pPr>
        <w:pStyle w:val="Heading2"/>
        <w:numPr>
          <w:ilvl w:val="1"/>
          <w:numId w:val="11"/>
        </w:numPr>
        <w:tabs>
          <w:tab w:val="clear" w:pos="851"/>
        </w:tabs>
        <w:ind w:left="0" w:firstLine="0"/>
      </w:pPr>
      <w:bookmarkStart w:id="30" w:name="_Toc447616542"/>
      <w:bookmarkStart w:id="31" w:name="_Toc459787960"/>
      <w:bookmarkStart w:id="32" w:name="_Toc254182808"/>
      <w:r>
        <w:t>Verzending / afgifte van de offertes</w:t>
      </w:r>
      <w:bookmarkEnd w:id="30"/>
      <w:bookmarkEnd w:id="31"/>
    </w:p>
    <w:p w:rsidR="002704D2" w:rsidRDefault="002704D2" w:rsidP="00825EAF">
      <w:pPr>
        <w:spacing w:line="240" w:lineRule="auto"/>
        <w:ind w:left="567"/>
        <w:jc w:val="both"/>
      </w:pPr>
      <w:r>
        <w:t>De toezending geschiedt volgens de keuze van de inschrijver. Een van de volgende wijzen van toezending wordt gekozen:</w:t>
      </w:r>
    </w:p>
    <w:p w:rsidR="006F798D" w:rsidRPr="00262EA8" w:rsidRDefault="006F798D" w:rsidP="00825EAF">
      <w:pPr>
        <w:spacing w:line="240" w:lineRule="auto"/>
        <w:ind w:left="567"/>
        <w:jc w:val="both"/>
      </w:pPr>
    </w:p>
    <w:p w:rsidR="00814EA5" w:rsidRPr="009E3045" w:rsidRDefault="002704D2" w:rsidP="00825EAF">
      <w:pPr>
        <w:pStyle w:val="Heading2"/>
        <w:numPr>
          <w:ilvl w:val="0"/>
          <w:numId w:val="0"/>
        </w:numPr>
      </w:pPr>
      <w:r>
        <w:tab/>
      </w:r>
      <w:bookmarkStart w:id="33" w:name="_Toc447616543"/>
      <w:bookmarkStart w:id="34" w:name="_Toc459787961"/>
      <w:r>
        <w:t>1.1</w:t>
      </w:r>
      <w:r w:rsidR="007A5328">
        <w:t>.</w:t>
      </w:r>
      <w:r>
        <w:t xml:space="preserve"> Per post</w:t>
      </w:r>
      <w:bookmarkEnd w:id="33"/>
      <w:bookmarkEnd w:id="34"/>
      <w:r>
        <w:t xml:space="preserve"> </w:t>
      </w:r>
      <w:bookmarkEnd w:id="32"/>
    </w:p>
    <w:p w:rsidR="00814EA5" w:rsidRPr="00360EA6" w:rsidRDefault="00814EA5" w:rsidP="00825EAF">
      <w:pPr>
        <w:spacing w:line="240" w:lineRule="auto"/>
        <w:ind w:firstLine="567"/>
        <w:jc w:val="both"/>
      </w:pPr>
      <w:r>
        <w:t>Aangetekende zending aan het volgende adres:</w:t>
      </w:r>
    </w:p>
    <w:p w:rsidR="00814EA5" w:rsidRPr="00262EA8" w:rsidRDefault="00814EA5" w:rsidP="00825EAF">
      <w:pPr>
        <w:ind w:left="960"/>
        <w:jc w:val="both"/>
      </w:pP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Raad van de Europese Unie</w:t>
      </w:r>
    </w:p>
    <w:p w:rsidR="00814EA5"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Secretariaat-generaal</w:t>
      </w:r>
    </w:p>
    <w:p w:rsidR="00E564B4" w:rsidRPr="00360EA6" w:rsidRDefault="00E564B4" w:rsidP="00600ED6">
      <w:pPr>
        <w:pBdr>
          <w:top w:val="single" w:sz="4" w:space="1" w:color="auto"/>
          <w:left w:val="single" w:sz="4" w:space="4" w:color="auto"/>
          <w:bottom w:val="single" w:sz="4" w:space="1" w:color="auto"/>
          <w:right w:val="single" w:sz="4" w:space="1" w:color="auto"/>
        </w:pBdr>
        <w:spacing w:line="240" w:lineRule="auto"/>
        <w:ind w:left="960"/>
        <w:jc w:val="both"/>
      </w:pPr>
      <w:r>
        <w:t xml:space="preserve">UCA </w:t>
      </w:r>
      <w:r w:rsidR="00600ED6">
        <w:t>028/</w:t>
      </w:r>
      <w:r>
        <w:t>16</w:t>
      </w: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Eenheid voor de coördinatie van de aankopen, kamer 10-70-KL-77</w:t>
      </w: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Wetstraat 175</w:t>
      </w: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1048 Brussel, België</w:t>
      </w:r>
    </w:p>
    <w:p w:rsidR="00814EA5" w:rsidRPr="00262EA8" w:rsidRDefault="00814EA5" w:rsidP="00825EAF">
      <w:pPr>
        <w:ind w:left="600"/>
        <w:jc w:val="both"/>
      </w:pPr>
    </w:p>
    <w:p w:rsidR="009E3045" w:rsidRDefault="00AB6290" w:rsidP="00600ED6">
      <w:pPr>
        <w:ind w:left="600"/>
        <w:jc w:val="both"/>
      </w:pPr>
      <w:r>
        <w:t xml:space="preserve">Uiterste datum </w:t>
      </w:r>
      <w:r w:rsidRPr="00AB6290">
        <w:rPr>
          <w:b/>
          <w:bCs/>
        </w:rPr>
        <w:t>10 Oktober</w:t>
      </w:r>
      <w:r>
        <w:t xml:space="preserve"> </w:t>
      </w:r>
      <w:r w:rsidR="00814EA5" w:rsidRPr="00AB6290">
        <w:rPr>
          <w:b/>
          <w:bCs/>
        </w:rPr>
        <w:t>2016</w:t>
      </w:r>
      <w:r w:rsidR="00814EA5">
        <w:t>, datum van verzending, de poststempel geldt als bewijs.</w:t>
      </w:r>
    </w:p>
    <w:p w:rsidR="009E3045" w:rsidRPr="00360EA6" w:rsidRDefault="009D210D" w:rsidP="00825EAF">
      <w:pPr>
        <w:ind w:left="600"/>
        <w:jc w:val="both"/>
      </w:pPr>
      <w:r>
        <w:br w:type="page"/>
      </w:r>
    </w:p>
    <w:p w:rsidR="00814EA5" w:rsidRPr="009E3045" w:rsidRDefault="002704D2" w:rsidP="00825EAF">
      <w:pPr>
        <w:pStyle w:val="Heading2"/>
        <w:numPr>
          <w:ilvl w:val="0"/>
          <w:numId w:val="0"/>
        </w:numPr>
      </w:pPr>
      <w:r>
        <w:tab/>
      </w:r>
      <w:bookmarkStart w:id="35" w:name="_Toc447616544"/>
      <w:bookmarkStart w:id="36" w:name="_Toc459787962"/>
      <w:r>
        <w:t>1.2 Afgifte</w:t>
      </w:r>
      <w:bookmarkEnd w:id="35"/>
      <w:bookmarkEnd w:id="36"/>
      <w:r>
        <w:t xml:space="preserve"> </w:t>
      </w:r>
    </w:p>
    <w:p w:rsidR="00814EA5" w:rsidRPr="00360EA6" w:rsidRDefault="00814EA5" w:rsidP="00825EAF">
      <w:pPr>
        <w:ind w:firstLine="567"/>
        <w:jc w:val="both"/>
      </w:pPr>
      <w:r>
        <w:t>Afgifte op het volgende adres:</w:t>
      </w:r>
    </w:p>
    <w:p w:rsidR="00814EA5" w:rsidRPr="00262EA8" w:rsidRDefault="00814EA5" w:rsidP="00825EAF">
      <w:pPr>
        <w:ind w:left="1440"/>
        <w:jc w:val="both"/>
      </w:pP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Raad van de Europese Unie</w:t>
      </w:r>
    </w:p>
    <w:p w:rsidR="00814EA5"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Secretariaat-generaal</w:t>
      </w:r>
    </w:p>
    <w:p w:rsidR="00E564B4" w:rsidRPr="00360EA6" w:rsidRDefault="00E564B4" w:rsidP="00600ED6">
      <w:pPr>
        <w:pBdr>
          <w:top w:val="single" w:sz="4" w:space="1" w:color="auto"/>
          <w:left w:val="single" w:sz="4" w:space="4" w:color="auto"/>
          <w:bottom w:val="single" w:sz="4" w:space="1" w:color="auto"/>
          <w:right w:val="single" w:sz="4" w:space="1" w:color="auto"/>
        </w:pBdr>
        <w:spacing w:line="240" w:lineRule="auto"/>
        <w:ind w:left="960"/>
        <w:jc w:val="both"/>
      </w:pPr>
      <w:r>
        <w:t xml:space="preserve">UCA </w:t>
      </w:r>
      <w:r w:rsidR="00600ED6">
        <w:t>028/</w:t>
      </w:r>
      <w:r>
        <w:t>16</w:t>
      </w: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Eenheid voor de coördinatie van de aankopen, kamer 10-70-KL-77</w:t>
      </w: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 xml:space="preserve">Laad- en losperron </w:t>
      </w: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 xml:space="preserve">Etterbeeksesteenweg 70 </w:t>
      </w:r>
    </w:p>
    <w:p w:rsidR="00814EA5" w:rsidRPr="00360EA6" w:rsidRDefault="00814EA5" w:rsidP="00825EAF">
      <w:pPr>
        <w:pBdr>
          <w:top w:val="single" w:sz="4" w:space="1" w:color="auto"/>
          <w:left w:val="single" w:sz="4" w:space="4" w:color="auto"/>
          <w:bottom w:val="single" w:sz="4" w:space="1" w:color="auto"/>
          <w:right w:val="single" w:sz="4" w:space="1" w:color="auto"/>
        </w:pBdr>
        <w:spacing w:line="240" w:lineRule="auto"/>
        <w:ind w:left="960"/>
        <w:jc w:val="both"/>
      </w:pPr>
      <w:r>
        <w:t>1040 Brussel, België</w:t>
      </w:r>
    </w:p>
    <w:p w:rsidR="00814EA5" w:rsidRPr="00262EA8" w:rsidRDefault="00814EA5" w:rsidP="00825EAF">
      <w:pPr>
        <w:jc w:val="both"/>
      </w:pPr>
    </w:p>
    <w:p w:rsidR="00814EA5" w:rsidRPr="00360EA6" w:rsidRDefault="00814EA5" w:rsidP="00600ED6">
      <w:pPr>
        <w:pStyle w:val="ParagNormal"/>
        <w:ind w:left="600"/>
      </w:pPr>
      <w:r>
        <w:t xml:space="preserve">Uiterste datum en uur </w:t>
      </w:r>
      <w:r w:rsidR="00AB6290" w:rsidRPr="00AB6290">
        <w:rPr>
          <w:b/>
          <w:bCs/>
        </w:rPr>
        <w:t xml:space="preserve">10 Oktober </w:t>
      </w:r>
      <w:r w:rsidRPr="00AB6290">
        <w:rPr>
          <w:b/>
          <w:bCs/>
        </w:rPr>
        <w:t>2016</w:t>
      </w:r>
      <w:r>
        <w:rPr>
          <w:b/>
          <w:bCs/>
        </w:rPr>
        <w:t xml:space="preserve"> om 16 uur</w:t>
      </w:r>
      <w:r>
        <w:t>, de door een gemachtigd personeelslid van het secretariaat-generaal van de Raad van de Europese Unie gedateerde en ondertekende ontvangstbevestiging geldt als bewijs.</w:t>
      </w:r>
    </w:p>
    <w:p w:rsidR="00814EA5" w:rsidRDefault="00814EA5" w:rsidP="00825EAF">
      <w:pPr>
        <w:pStyle w:val="ParagNormal"/>
        <w:ind w:left="600"/>
      </w:pPr>
      <w:r>
        <w:t>Het laad- en losperron is elke werkdag toegankelijk van 8.30 uur tot 16.30 uur.</w:t>
      </w:r>
    </w:p>
    <w:p w:rsidR="00814EA5" w:rsidRPr="009E3045" w:rsidRDefault="009E3045" w:rsidP="00825EAF">
      <w:pPr>
        <w:pStyle w:val="Heading2"/>
        <w:numPr>
          <w:ilvl w:val="1"/>
          <w:numId w:val="11"/>
        </w:numPr>
        <w:tabs>
          <w:tab w:val="clear" w:pos="851"/>
        </w:tabs>
        <w:ind w:left="0" w:firstLine="0"/>
      </w:pPr>
      <w:bookmarkStart w:id="37" w:name="_Toc447616545"/>
      <w:bookmarkStart w:id="38" w:name="_Toc459787963"/>
      <w:r>
        <w:t>Verpakking van de offerte</w:t>
      </w:r>
      <w:bookmarkEnd w:id="37"/>
      <w:bookmarkEnd w:id="38"/>
      <w:r>
        <w:t xml:space="preserve"> </w:t>
      </w:r>
    </w:p>
    <w:p w:rsidR="00814EA5" w:rsidRPr="00360EA6" w:rsidRDefault="00814EA5" w:rsidP="00825EAF">
      <w:pPr>
        <w:spacing w:line="240" w:lineRule="auto"/>
        <w:ind w:left="567"/>
        <w:jc w:val="both"/>
      </w:pPr>
      <w:r>
        <w:t xml:space="preserve">De offertes moeten onder </w:t>
      </w:r>
      <w:r>
        <w:rPr>
          <w:b/>
        </w:rPr>
        <w:t>dubbele gesloten envelop</w:t>
      </w:r>
      <w:r>
        <w:t xml:space="preserve"> worden toegezonden (het gebruik van dozen/colli in plaats van enveloppen is toegestaan als de omvang van de offerte dat vereist - de term "envelop" kan in het vervolg van de tekst ook slaan op meerdere dozen/colli). Zelfklevende enveloppen moeten worden gesloten met plakband en de vertegenwoordiger van de inschrijver plaatst zijn handtekening daar dwars overheen.</w:t>
      </w:r>
    </w:p>
    <w:p w:rsidR="00814EA5" w:rsidRPr="00262EA8" w:rsidRDefault="00814EA5" w:rsidP="00825EAF">
      <w:pPr>
        <w:spacing w:line="240" w:lineRule="auto"/>
        <w:jc w:val="both"/>
      </w:pPr>
    </w:p>
    <w:p w:rsidR="00814EA5" w:rsidRDefault="00814EA5" w:rsidP="00EF454D">
      <w:pPr>
        <w:spacing w:line="240" w:lineRule="auto"/>
        <w:ind w:left="567"/>
        <w:jc w:val="both"/>
        <w:rPr>
          <w:b/>
          <w:bCs/>
        </w:rPr>
      </w:pPr>
      <w:r>
        <w:rPr>
          <w:b/>
          <w:bCs/>
        </w:rPr>
        <w:t>De binnenste envelop bevat de financiële inschrijving.</w:t>
      </w:r>
    </w:p>
    <w:p w:rsidR="00EC21E9" w:rsidRPr="00262EA8" w:rsidRDefault="00EC21E9" w:rsidP="00825EAF">
      <w:pPr>
        <w:spacing w:line="240" w:lineRule="auto"/>
        <w:ind w:left="600"/>
        <w:jc w:val="both"/>
        <w:rPr>
          <w:b/>
          <w:bCs/>
        </w:rPr>
      </w:pPr>
    </w:p>
    <w:p w:rsidR="00814EA5" w:rsidRPr="00360EA6" w:rsidRDefault="00814EA5" w:rsidP="00825EAF">
      <w:pPr>
        <w:spacing w:line="240" w:lineRule="auto"/>
        <w:ind w:left="600"/>
        <w:jc w:val="both"/>
      </w:pPr>
      <w:r>
        <w:t>Op de buitenste envelop moet het adres staan dat overeenstemt met de gekozen wijze van indiening.</w:t>
      </w:r>
    </w:p>
    <w:p w:rsidR="00814EA5" w:rsidRPr="00262EA8" w:rsidRDefault="00814EA5" w:rsidP="00825EAF">
      <w:pPr>
        <w:spacing w:line="240" w:lineRule="auto"/>
        <w:ind w:left="600"/>
        <w:jc w:val="both"/>
      </w:pPr>
    </w:p>
    <w:p w:rsidR="00814EA5" w:rsidRPr="00360EA6" w:rsidRDefault="00814EA5" w:rsidP="00825EAF">
      <w:pPr>
        <w:spacing w:line="240" w:lineRule="auto"/>
        <w:ind w:left="600"/>
        <w:jc w:val="both"/>
      </w:pPr>
      <w:r>
        <w:t>Op elk van de vier enveloppen staat voorts het volgende:</w:t>
      </w:r>
    </w:p>
    <w:p w:rsidR="00814EA5" w:rsidRPr="00262EA8" w:rsidRDefault="00814EA5" w:rsidP="00825EAF">
      <w:pPr>
        <w:jc w:val="both"/>
      </w:pPr>
    </w:p>
    <w:p w:rsidR="00814EA5" w:rsidRPr="00262EA8" w:rsidRDefault="00814EA5" w:rsidP="00600ED6">
      <w:pPr>
        <w:pBdr>
          <w:top w:val="single" w:sz="2" w:space="3" w:color="auto"/>
          <w:left w:val="single" w:sz="2" w:space="4" w:color="auto"/>
          <w:bottom w:val="single" w:sz="2" w:space="1" w:color="auto"/>
          <w:right w:val="single" w:sz="2" w:space="0" w:color="auto"/>
        </w:pBdr>
        <w:spacing w:line="240" w:lineRule="auto"/>
        <w:ind w:left="600"/>
        <w:jc w:val="both"/>
        <w:rPr>
          <w:b/>
          <w:bCs/>
          <w:u w:val="single"/>
          <w:lang w:val="fr-BE"/>
        </w:rPr>
      </w:pPr>
      <w:r w:rsidRPr="00262EA8">
        <w:rPr>
          <w:b/>
          <w:bCs/>
          <w:caps/>
          <w:u w:val="single"/>
          <w:lang w:val="fr-BE"/>
        </w:rPr>
        <w:t>Appel d</w:t>
      </w:r>
      <w:r w:rsidR="00262EA8">
        <w:rPr>
          <w:b/>
          <w:bCs/>
          <w:caps/>
          <w:u w:val="single"/>
          <w:lang w:val="fr-BE"/>
        </w:rPr>
        <w:t>'</w:t>
      </w:r>
      <w:r w:rsidRPr="00262EA8">
        <w:rPr>
          <w:b/>
          <w:bCs/>
          <w:caps/>
          <w:u w:val="single"/>
          <w:lang w:val="fr-BE"/>
        </w:rPr>
        <w:t>offres</w:t>
      </w:r>
      <w:r w:rsidRPr="00262EA8">
        <w:rPr>
          <w:u w:val="single"/>
          <w:lang w:val="fr-BE"/>
        </w:rPr>
        <w:t xml:space="preserve"> </w:t>
      </w:r>
      <w:r w:rsidRPr="00262EA8">
        <w:rPr>
          <w:b/>
          <w:bCs/>
          <w:u w:val="single"/>
          <w:lang w:val="fr-BE"/>
        </w:rPr>
        <w:t xml:space="preserve">UCA </w:t>
      </w:r>
      <w:r w:rsidR="00600ED6">
        <w:rPr>
          <w:b/>
          <w:bCs/>
          <w:u w:val="single"/>
          <w:lang w:val="fr-BE"/>
        </w:rPr>
        <w:t>028/</w:t>
      </w:r>
      <w:r w:rsidRPr="00262EA8">
        <w:rPr>
          <w:b/>
          <w:bCs/>
          <w:u w:val="single"/>
          <w:lang w:val="fr-BE"/>
        </w:rPr>
        <w:t>16</w:t>
      </w:r>
    </w:p>
    <w:p w:rsidR="00814EA5" w:rsidRPr="00360EA6" w:rsidRDefault="00814EA5" w:rsidP="00825EAF">
      <w:pPr>
        <w:pBdr>
          <w:top w:val="single" w:sz="2" w:space="3" w:color="auto"/>
          <w:left w:val="single" w:sz="2" w:space="4" w:color="auto"/>
          <w:bottom w:val="single" w:sz="2" w:space="1" w:color="auto"/>
          <w:right w:val="single" w:sz="2" w:space="0" w:color="auto"/>
        </w:pBdr>
        <w:spacing w:line="240" w:lineRule="auto"/>
        <w:ind w:left="600"/>
        <w:jc w:val="both"/>
        <w:rPr>
          <w:b/>
          <w:bCs/>
          <w:u w:val="single"/>
          <w:lang w:val="fr-BE"/>
        </w:rPr>
      </w:pPr>
    </w:p>
    <w:p w:rsidR="00814EA5" w:rsidRPr="00360EA6" w:rsidRDefault="00814EA5" w:rsidP="00825EAF">
      <w:pPr>
        <w:pBdr>
          <w:top w:val="single" w:sz="2" w:space="3" w:color="auto"/>
          <w:left w:val="single" w:sz="2" w:space="4" w:color="auto"/>
          <w:bottom w:val="single" w:sz="2" w:space="1" w:color="auto"/>
          <w:right w:val="single" w:sz="2" w:space="0" w:color="auto"/>
        </w:pBdr>
        <w:spacing w:line="240" w:lineRule="auto"/>
        <w:ind w:left="600"/>
        <w:jc w:val="both"/>
        <w:rPr>
          <w:b/>
          <w:bCs/>
          <w:u w:val="single"/>
          <w:lang w:val="fr-BE"/>
        </w:rPr>
      </w:pPr>
    </w:p>
    <w:p w:rsidR="00814EA5" w:rsidRPr="00262EA8" w:rsidRDefault="00814EA5" w:rsidP="00825EAF">
      <w:pPr>
        <w:pBdr>
          <w:top w:val="single" w:sz="2" w:space="3" w:color="auto"/>
          <w:left w:val="single" w:sz="2" w:space="4" w:color="auto"/>
          <w:bottom w:val="single" w:sz="2" w:space="1" w:color="auto"/>
          <w:right w:val="single" w:sz="2" w:space="0" w:color="auto"/>
        </w:pBdr>
        <w:spacing w:line="240" w:lineRule="auto"/>
        <w:ind w:left="600"/>
        <w:jc w:val="both"/>
        <w:rPr>
          <w:lang w:val="fr-BE"/>
        </w:rPr>
      </w:pPr>
      <w:r w:rsidRPr="00262EA8">
        <w:rPr>
          <w:lang w:val="fr-BE"/>
        </w:rPr>
        <w:t>Offre présentée par &lt;Identification du soumissionnaire &gt;</w:t>
      </w:r>
      <w:r w:rsidRPr="00C655FB">
        <w:rPr>
          <w:rStyle w:val="FootnoteReference"/>
          <w:lang w:val="fr-BE"/>
        </w:rPr>
        <w:footnoteReference w:id="4"/>
      </w:r>
    </w:p>
    <w:p w:rsidR="00814EA5" w:rsidRPr="00360EA6" w:rsidRDefault="00814EA5" w:rsidP="00825EAF">
      <w:pPr>
        <w:pBdr>
          <w:top w:val="single" w:sz="2" w:space="3" w:color="auto"/>
          <w:left w:val="single" w:sz="2" w:space="4" w:color="auto"/>
          <w:bottom w:val="single" w:sz="2" w:space="1" w:color="auto"/>
          <w:right w:val="single" w:sz="2" w:space="0" w:color="auto"/>
        </w:pBdr>
        <w:spacing w:line="240" w:lineRule="auto"/>
        <w:ind w:left="600"/>
        <w:jc w:val="both"/>
        <w:rPr>
          <w:lang w:val="fr-BE"/>
        </w:rPr>
      </w:pPr>
    </w:p>
    <w:p w:rsidR="00814EA5" w:rsidRPr="00262EA8" w:rsidRDefault="00814EA5" w:rsidP="00FA44F0">
      <w:pPr>
        <w:pBdr>
          <w:top w:val="single" w:sz="2" w:space="3" w:color="auto"/>
          <w:left w:val="single" w:sz="2" w:space="4" w:color="auto"/>
          <w:bottom w:val="single" w:sz="2" w:space="1" w:color="auto"/>
          <w:right w:val="single" w:sz="2" w:space="0" w:color="auto"/>
        </w:pBdr>
        <w:spacing w:line="240" w:lineRule="auto"/>
        <w:ind w:left="600"/>
        <w:rPr>
          <w:u w:val="single"/>
          <w:lang w:val="fr-BE"/>
        </w:rPr>
      </w:pPr>
      <w:r w:rsidRPr="00262EA8">
        <w:rPr>
          <w:b/>
          <w:bCs/>
          <w:caps/>
          <w:u w:val="single"/>
          <w:lang w:val="fr-BE"/>
        </w:rPr>
        <w:t>À ne pas ouvrir</w:t>
      </w:r>
      <w:r w:rsidRPr="00262EA8">
        <w:rPr>
          <w:b/>
          <w:bCs/>
          <w:caps/>
          <w:u w:val="single"/>
          <w:lang w:val="fr-BE"/>
        </w:rPr>
        <w:br/>
        <w:t xml:space="preserve">Ni par le service DU courrier </w:t>
      </w:r>
      <w:r w:rsidRPr="00262EA8">
        <w:rPr>
          <w:b/>
          <w:bCs/>
          <w:caps/>
          <w:u w:val="single"/>
          <w:lang w:val="fr-BE"/>
        </w:rPr>
        <w:br/>
        <w:t>ni par une personne non habilitée</w:t>
      </w:r>
      <w:r w:rsidRPr="00262EA8">
        <w:rPr>
          <w:caps/>
          <w:u w:val="single"/>
          <w:lang w:val="fr-BE"/>
        </w:rPr>
        <w:t>.</w:t>
      </w:r>
      <w:r w:rsidRPr="00360EA6">
        <w:rPr>
          <w:rStyle w:val="FootnoteReference"/>
          <w:u w:val="single"/>
          <w:lang w:val="fr-BE"/>
        </w:rPr>
        <w:footnoteReference w:id="5"/>
      </w:r>
    </w:p>
    <w:p w:rsidR="00814EA5" w:rsidRPr="00262EA8" w:rsidRDefault="009D210D" w:rsidP="00825EAF">
      <w:pPr>
        <w:spacing w:line="240" w:lineRule="auto"/>
        <w:ind w:left="567"/>
        <w:jc w:val="both"/>
        <w:rPr>
          <w:rFonts w:ascii="Tahoma" w:hAnsi="Tahoma" w:cs="Tahoma"/>
          <w:lang w:val="fr-BE"/>
        </w:rPr>
      </w:pPr>
      <w:r w:rsidRPr="00262EA8">
        <w:rPr>
          <w:lang w:val="fr-BE"/>
        </w:rPr>
        <w:br w:type="page"/>
      </w:r>
    </w:p>
    <w:p w:rsidR="00814EA5" w:rsidRPr="00360EA6" w:rsidRDefault="00814EA5" w:rsidP="00825EAF">
      <w:pPr>
        <w:pStyle w:val="Heading2"/>
        <w:numPr>
          <w:ilvl w:val="1"/>
          <w:numId w:val="11"/>
        </w:numPr>
        <w:tabs>
          <w:tab w:val="clear" w:pos="851"/>
        </w:tabs>
        <w:ind w:left="0" w:firstLine="0"/>
      </w:pPr>
      <w:bookmarkStart w:id="39" w:name="_Toc254182812"/>
      <w:bookmarkStart w:id="40" w:name="_Toc447616546"/>
      <w:bookmarkStart w:id="41" w:name="_Toc459787964"/>
      <w:r>
        <w:t>Elektronische verzending</w:t>
      </w:r>
      <w:bookmarkEnd w:id="39"/>
      <w:bookmarkEnd w:id="40"/>
      <w:bookmarkEnd w:id="41"/>
    </w:p>
    <w:p w:rsidR="00814EA5" w:rsidRDefault="00814EA5" w:rsidP="00600ED6">
      <w:pPr>
        <w:spacing w:line="240" w:lineRule="auto"/>
        <w:ind w:left="567"/>
        <w:jc w:val="both"/>
      </w:pPr>
      <w:r>
        <w:t>De inschrijving kan niet per fax of per e-mail worden ingediend.</w:t>
      </w:r>
    </w:p>
    <w:p w:rsidR="002B0E9D" w:rsidRPr="00262EA8" w:rsidRDefault="002B0E9D" w:rsidP="002B0E9D">
      <w:pPr>
        <w:spacing w:line="240" w:lineRule="auto"/>
        <w:ind w:firstLine="567"/>
        <w:jc w:val="both"/>
      </w:pPr>
    </w:p>
    <w:p w:rsidR="00814EA5" w:rsidRPr="00262EA8" w:rsidRDefault="00814EA5" w:rsidP="00825EAF">
      <w:pPr>
        <w:pStyle w:val="Normal05"/>
        <w:jc w:val="both"/>
      </w:pPr>
    </w:p>
    <w:p w:rsidR="00814EA5" w:rsidRPr="00360EA6" w:rsidRDefault="00814EA5" w:rsidP="00825EAF">
      <w:pPr>
        <w:pStyle w:val="Heading2"/>
        <w:numPr>
          <w:ilvl w:val="1"/>
          <w:numId w:val="11"/>
        </w:numPr>
        <w:tabs>
          <w:tab w:val="clear" w:pos="851"/>
        </w:tabs>
        <w:ind w:left="567" w:hanging="567"/>
      </w:pPr>
      <w:bookmarkStart w:id="42" w:name="_Toc254182813"/>
      <w:bookmarkStart w:id="43" w:name="_Toc447616547"/>
      <w:bookmarkStart w:id="44" w:name="_Toc459787965"/>
      <w:r>
        <w:t>Niet-conformiteit</w:t>
      </w:r>
      <w:bookmarkEnd w:id="42"/>
      <w:bookmarkEnd w:id="43"/>
      <w:bookmarkEnd w:id="44"/>
    </w:p>
    <w:p w:rsidR="00814EA5" w:rsidRPr="00360EA6" w:rsidRDefault="00814EA5" w:rsidP="00825EAF">
      <w:pPr>
        <w:spacing w:line="240" w:lineRule="auto"/>
        <w:ind w:left="567"/>
        <w:jc w:val="both"/>
      </w:pPr>
      <w:r>
        <w:t>Buiten de termijn ingediende offertes worden niet-conform verklaard en worden niet beoordeeld.</w:t>
      </w:r>
    </w:p>
    <w:p w:rsidR="00814EA5" w:rsidRDefault="00814EA5" w:rsidP="00825EAF">
      <w:pPr>
        <w:spacing w:line="240" w:lineRule="auto"/>
        <w:ind w:left="567"/>
        <w:jc w:val="both"/>
      </w:pPr>
      <w:r>
        <w:t>Dat geldt ook voor offertes waarvan de vertrouwelijkheid en/of de integriteit niet gegarandeerd is als gevolg van kennelijke niet-inachtneming van de in punt II.2. bedoelde criteria voor de indiening.</w:t>
      </w:r>
    </w:p>
    <w:p w:rsidR="002B0E9D" w:rsidRPr="00262EA8" w:rsidRDefault="002B0E9D" w:rsidP="00825EAF">
      <w:pPr>
        <w:spacing w:line="240" w:lineRule="auto"/>
        <w:ind w:left="567"/>
        <w:jc w:val="both"/>
      </w:pPr>
    </w:p>
    <w:p w:rsidR="00814EA5" w:rsidRPr="00360EA6" w:rsidRDefault="00814EA5" w:rsidP="00825EAF">
      <w:pPr>
        <w:pStyle w:val="Heading1"/>
        <w:tabs>
          <w:tab w:val="clear" w:pos="851"/>
        </w:tabs>
        <w:ind w:left="567" w:hanging="567"/>
      </w:pPr>
      <w:bookmarkStart w:id="45" w:name="_Toc254182814"/>
      <w:bookmarkStart w:id="46" w:name="_Toc447616548"/>
      <w:bookmarkStart w:id="47" w:name="_Toc459787966"/>
      <w:r>
        <w:t>Geldigheidsduur van de offertes</w:t>
      </w:r>
      <w:bookmarkEnd w:id="45"/>
      <w:bookmarkEnd w:id="46"/>
      <w:bookmarkEnd w:id="47"/>
    </w:p>
    <w:p w:rsidR="00814EA5" w:rsidRDefault="00814EA5" w:rsidP="00825EAF">
      <w:pPr>
        <w:spacing w:line="240" w:lineRule="auto"/>
        <w:ind w:left="567"/>
        <w:jc w:val="both"/>
      </w:pPr>
      <w:r>
        <w:t>De geldigheidsduur van de offertes, tijdens welke de inschrijver alle voorwaarden van zijn inschrijving moet handhaven, bedraagt zes (6) maanden vanaf de uiterste datum voor toezending van de offertes.</w:t>
      </w:r>
    </w:p>
    <w:p w:rsidR="002B0E9D" w:rsidRPr="00262EA8" w:rsidRDefault="002B0E9D" w:rsidP="00825EAF">
      <w:pPr>
        <w:spacing w:line="240" w:lineRule="auto"/>
        <w:ind w:left="567"/>
        <w:jc w:val="both"/>
      </w:pPr>
    </w:p>
    <w:p w:rsidR="00814EA5" w:rsidRPr="00360EA6" w:rsidRDefault="00814EA5" w:rsidP="00825EAF">
      <w:pPr>
        <w:pStyle w:val="Heading1"/>
        <w:tabs>
          <w:tab w:val="clear" w:pos="851"/>
        </w:tabs>
        <w:ind w:left="567" w:hanging="567"/>
      </w:pPr>
      <w:bookmarkStart w:id="48" w:name="_Toc254182815"/>
      <w:bookmarkStart w:id="49" w:name="_Toc447616549"/>
      <w:bookmarkStart w:id="50" w:name="_Toc459787967"/>
      <w:r>
        <w:t>Verbintenissen</w:t>
      </w:r>
      <w:bookmarkEnd w:id="48"/>
      <w:bookmarkEnd w:id="49"/>
      <w:bookmarkEnd w:id="50"/>
    </w:p>
    <w:p w:rsidR="00814EA5" w:rsidRPr="00360EA6" w:rsidRDefault="00814EA5" w:rsidP="00825EAF">
      <w:pPr>
        <w:pStyle w:val="Heading2"/>
        <w:numPr>
          <w:ilvl w:val="1"/>
          <w:numId w:val="11"/>
        </w:numPr>
        <w:tabs>
          <w:tab w:val="clear" w:pos="851"/>
        </w:tabs>
        <w:ind w:left="567" w:hanging="567"/>
      </w:pPr>
      <w:bookmarkStart w:id="51" w:name="_Toc254182816"/>
      <w:bookmarkStart w:id="52" w:name="_Toc447616550"/>
      <w:bookmarkStart w:id="53" w:name="_Toc459787968"/>
      <w:r>
        <w:t>Indiening van een offerte</w:t>
      </w:r>
      <w:bookmarkEnd w:id="51"/>
      <w:bookmarkEnd w:id="52"/>
      <w:bookmarkEnd w:id="53"/>
    </w:p>
    <w:p w:rsidR="00BF70F6" w:rsidRDefault="00814EA5" w:rsidP="00BF70F6">
      <w:pPr>
        <w:spacing w:line="240" w:lineRule="auto"/>
        <w:ind w:left="567"/>
        <w:jc w:val="both"/>
      </w:pPr>
      <w:r>
        <w:t>Door een offerte in te dienen aanvaardt de inschrijver de bepalingen van de onderhavige inschrijvingsdocumenten en ziet hij bijgevolg af van zijn eigen algemene en bijzondere voorwaarden.</w:t>
      </w:r>
    </w:p>
    <w:p w:rsidR="00814EA5" w:rsidRDefault="00814EA5" w:rsidP="00BF70F6">
      <w:pPr>
        <w:spacing w:line="240" w:lineRule="auto"/>
        <w:ind w:left="567"/>
        <w:jc w:val="both"/>
      </w:pPr>
      <w:r>
        <w:t>Het indienen van een offerte bindt de inschrijver tijdens de uitvoering van de overeenkomst indien de opdracht aan hem wordt toegewezen.</w:t>
      </w:r>
    </w:p>
    <w:p w:rsidR="002B0E9D" w:rsidRPr="00262EA8" w:rsidRDefault="002B0E9D" w:rsidP="00BF70F6">
      <w:pPr>
        <w:spacing w:line="240" w:lineRule="auto"/>
        <w:ind w:left="567"/>
        <w:jc w:val="both"/>
      </w:pPr>
    </w:p>
    <w:p w:rsidR="00814EA5" w:rsidRPr="00262EA8" w:rsidRDefault="00814EA5" w:rsidP="00825EAF">
      <w:pPr>
        <w:spacing w:line="240" w:lineRule="auto"/>
        <w:jc w:val="both"/>
      </w:pPr>
    </w:p>
    <w:p w:rsidR="00814EA5" w:rsidRPr="00360EA6" w:rsidRDefault="00814EA5" w:rsidP="00825EAF">
      <w:pPr>
        <w:pStyle w:val="Heading2"/>
        <w:numPr>
          <w:ilvl w:val="1"/>
          <w:numId w:val="11"/>
        </w:numPr>
        <w:tabs>
          <w:tab w:val="clear" w:pos="851"/>
        </w:tabs>
        <w:ind w:left="567" w:hanging="567"/>
      </w:pPr>
      <w:bookmarkStart w:id="54" w:name="_Toc254182817"/>
      <w:bookmarkStart w:id="55" w:name="_Toc447616551"/>
      <w:bookmarkStart w:id="56" w:name="_Toc459787969"/>
      <w:r>
        <w:t>Kosten voor deelname aan de procedure</w:t>
      </w:r>
      <w:bookmarkEnd w:id="54"/>
      <w:bookmarkEnd w:id="55"/>
      <w:bookmarkEnd w:id="56"/>
    </w:p>
    <w:p w:rsidR="00814EA5" w:rsidRPr="00360EA6" w:rsidRDefault="00814EA5" w:rsidP="00825EAF">
      <w:pPr>
        <w:spacing w:line="240" w:lineRule="auto"/>
        <w:ind w:firstLine="567"/>
        <w:jc w:val="both"/>
      </w:pPr>
      <w:r>
        <w:t>De deelname aan deze aanbesteding is gratis.</w:t>
      </w:r>
    </w:p>
    <w:p w:rsidR="00814EA5" w:rsidRPr="00360EA6" w:rsidRDefault="00814EA5" w:rsidP="00825EAF">
      <w:pPr>
        <w:spacing w:line="240" w:lineRule="auto"/>
        <w:ind w:left="567"/>
        <w:jc w:val="both"/>
      </w:pPr>
      <w:r>
        <w:t>De inschrijvingsdocumenten worden gratis ter beschikking gesteld van de geselecteerde gegadigden.</w:t>
      </w:r>
    </w:p>
    <w:p w:rsidR="00814EA5" w:rsidRDefault="00814EA5" w:rsidP="00825EAF">
      <w:pPr>
        <w:spacing w:line="240" w:lineRule="auto"/>
        <w:ind w:left="567"/>
        <w:jc w:val="both"/>
      </w:pPr>
      <w:r>
        <w:t>De kosten die de inschrijver maakt voor het opstellen en indienen van de offerte worden niet vergoed. Deze zijn ten laste van de inschrijver.</w:t>
      </w:r>
    </w:p>
    <w:p w:rsidR="002B0E9D" w:rsidRPr="00360EA6" w:rsidRDefault="002B0E9D" w:rsidP="00825EAF">
      <w:pPr>
        <w:spacing w:line="240" w:lineRule="auto"/>
        <w:ind w:left="567"/>
        <w:jc w:val="both"/>
        <w:rPr>
          <w:lang w:val="fr-BE"/>
        </w:rPr>
      </w:pPr>
    </w:p>
    <w:p w:rsidR="00814EA5" w:rsidRPr="00360EA6" w:rsidRDefault="009D210D" w:rsidP="00825EAF">
      <w:pPr>
        <w:spacing w:line="240" w:lineRule="auto"/>
        <w:jc w:val="both"/>
      </w:pPr>
      <w:r>
        <w:br w:type="page"/>
      </w:r>
    </w:p>
    <w:p w:rsidR="00814EA5" w:rsidRPr="00360EA6" w:rsidRDefault="00814EA5" w:rsidP="00825EAF">
      <w:pPr>
        <w:pStyle w:val="Heading2"/>
        <w:numPr>
          <w:ilvl w:val="1"/>
          <w:numId w:val="11"/>
        </w:numPr>
        <w:tabs>
          <w:tab w:val="clear" w:pos="851"/>
        </w:tabs>
        <w:ind w:left="0" w:firstLine="0"/>
      </w:pPr>
      <w:bookmarkStart w:id="57" w:name="_Toc254182818"/>
      <w:bookmarkStart w:id="58" w:name="_Toc447616552"/>
      <w:bookmarkStart w:id="59" w:name="_Toc459787970"/>
      <w:r>
        <w:t>Eigendom van de offerte</w:t>
      </w:r>
      <w:bookmarkEnd w:id="57"/>
      <w:bookmarkEnd w:id="58"/>
      <w:bookmarkEnd w:id="59"/>
    </w:p>
    <w:p w:rsidR="00814EA5" w:rsidRPr="00360EA6" w:rsidRDefault="00814EA5" w:rsidP="00825EAF">
      <w:pPr>
        <w:spacing w:line="240" w:lineRule="auto"/>
        <w:ind w:left="567"/>
        <w:jc w:val="both"/>
      </w:pPr>
      <w:r>
        <w:t>De aanbestedende dienst verwerft en behoudt de eigendom van alle in het kader van deze aanbestedingsprocedure ontvangen offertes.</w:t>
      </w:r>
    </w:p>
    <w:p w:rsidR="002B0E9D" w:rsidRDefault="00814EA5" w:rsidP="00825EAF">
      <w:pPr>
        <w:spacing w:line="240" w:lineRule="auto"/>
        <w:ind w:firstLine="567"/>
        <w:jc w:val="both"/>
      </w:pPr>
      <w:r>
        <w:t>Bijgevolg kunnen de inschrijvers niet eisen dat hun offerte wordt teruggestuurd.</w:t>
      </w:r>
    </w:p>
    <w:p w:rsidR="00B2678C" w:rsidRPr="00262EA8" w:rsidRDefault="00B2678C" w:rsidP="002B0E9D">
      <w:pPr>
        <w:spacing w:line="240" w:lineRule="auto"/>
        <w:ind w:firstLine="567"/>
        <w:jc w:val="both"/>
      </w:pPr>
    </w:p>
    <w:p w:rsidR="007355A0" w:rsidRPr="007355A0" w:rsidRDefault="007355A0" w:rsidP="007355A0">
      <w:pPr>
        <w:pStyle w:val="Heading2"/>
        <w:numPr>
          <w:ilvl w:val="1"/>
          <w:numId w:val="11"/>
        </w:numPr>
        <w:tabs>
          <w:tab w:val="clear" w:pos="851"/>
        </w:tabs>
        <w:ind w:left="567" w:hanging="567"/>
      </w:pPr>
      <w:bookmarkStart w:id="60" w:name="_Toc254182819"/>
      <w:bookmarkStart w:id="61" w:name="_Toc338678820"/>
      <w:bookmarkStart w:id="62" w:name="_Toc459787971"/>
      <w:r>
        <w:t>Verplicht bezoek ter plaatse</w:t>
      </w:r>
      <w:bookmarkEnd w:id="60"/>
      <w:bookmarkEnd w:id="61"/>
      <w:bookmarkEnd w:id="62"/>
    </w:p>
    <w:p w:rsidR="007355A0" w:rsidRPr="007355A0" w:rsidRDefault="007355A0" w:rsidP="007355A0">
      <w:pPr>
        <w:spacing w:line="240" w:lineRule="auto"/>
        <w:ind w:left="567"/>
        <w:jc w:val="both"/>
      </w:pPr>
      <w:r>
        <w:t>Het feit dat de inschrijver een offerte indient, betekent dat hij goed bekend is met de locatie en de bestaande installaties. Deze bekendheid met de locatie stelt hem met name in staat:</w:t>
      </w:r>
    </w:p>
    <w:p w:rsidR="007355A0" w:rsidRDefault="007355A0" w:rsidP="007355A0">
      <w:pPr>
        <w:tabs>
          <w:tab w:val="left" w:pos="1418"/>
        </w:tabs>
        <w:spacing w:line="240" w:lineRule="auto"/>
        <w:ind w:left="1134"/>
        <w:jc w:val="both"/>
      </w:pPr>
      <w:r>
        <w:br/>
        <w:t>- te bepalen hoeveel tijd er nodig is voor het uitvoeren van de werkzaamheden,</w:t>
      </w:r>
    </w:p>
    <w:p w:rsidR="007355A0" w:rsidRPr="007355A0" w:rsidRDefault="007355A0" w:rsidP="007355A0">
      <w:pPr>
        <w:tabs>
          <w:tab w:val="left" w:pos="1418"/>
        </w:tabs>
        <w:spacing w:line="240" w:lineRule="auto"/>
        <w:ind w:left="1134"/>
        <w:jc w:val="both"/>
      </w:pPr>
      <w:r>
        <w:t>- zich een beeld te vormen van de eventuele problemen in verband met de toegang, het opzetten van de bouwplaats,</w:t>
      </w:r>
    </w:p>
    <w:p w:rsidR="007355A0" w:rsidRDefault="007355A0" w:rsidP="007355A0">
      <w:pPr>
        <w:tabs>
          <w:tab w:val="left" w:pos="1418"/>
        </w:tabs>
        <w:spacing w:line="240" w:lineRule="auto"/>
        <w:ind w:left="1134"/>
        <w:jc w:val="both"/>
      </w:pPr>
      <w:r>
        <w:t>-materialen aan te voeren en rekening te houden met storende omgevingsfactoren,</w:t>
      </w:r>
    </w:p>
    <w:p w:rsidR="007355A0" w:rsidRDefault="007355A0" w:rsidP="007355A0">
      <w:pPr>
        <w:tabs>
          <w:tab w:val="left" w:pos="1418"/>
        </w:tabs>
        <w:spacing w:line="240" w:lineRule="auto"/>
        <w:ind w:left="1134"/>
        <w:jc w:val="both"/>
      </w:pPr>
      <w:r>
        <w:t>- de constructie van het gebouw te beoordelen,</w:t>
      </w:r>
    </w:p>
    <w:p w:rsidR="007355A0" w:rsidRPr="007355A0" w:rsidRDefault="007355A0" w:rsidP="007355A0">
      <w:pPr>
        <w:tabs>
          <w:tab w:val="left" w:pos="1418"/>
        </w:tabs>
        <w:spacing w:line="240" w:lineRule="auto"/>
        <w:ind w:left="1134"/>
        <w:jc w:val="both"/>
      </w:pPr>
      <w:r>
        <w:t xml:space="preserve">- … </w:t>
      </w:r>
    </w:p>
    <w:p w:rsidR="007355A0" w:rsidRPr="00262EA8" w:rsidRDefault="007355A0" w:rsidP="007355A0">
      <w:pPr>
        <w:spacing w:line="240" w:lineRule="auto"/>
        <w:ind w:left="567"/>
        <w:jc w:val="both"/>
      </w:pPr>
    </w:p>
    <w:p w:rsidR="007355A0" w:rsidRPr="007355A0" w:rsidRDefault="007355A0" w:rsidP="007355A0">
      <w:pPr>
        <w:spacing w:line="240" w:lineRule="auto"/>
        <w:ind w:left="567"/>
        <w:jc w:val="both"/>
      </w:pPr>
      <w:r>
        <w:t>Daarom is een bezoek ter plaatse voor alle potentiële inschrijvers verplicht (zie punt V).</w:t>
      </w:r>
    </w:p>
    <w:p w:rsidR="007355A0" w:rsidRPr="00360EA6" w:rsidRDefault="007355A0" w:rsidP="007355A0">
      <w:pPr>
        <w:spacing w:line="240" w:lineRule="auto"/>
        <w:ind w:left="567"/>
        <w:jc w:val="both"/>
      </w:pPr>
      <w:r>
        <w:br/>
        <w:t>Tijdens de uitvoering van de opdracht kan geen vordering in verband met een eventuele onbekendheid met de locatie worden ingesteld tegen de aanbestedende dienst. Voorts geldt dat de inschrijver wordt geacht bekend te zijn met alle elementen die vóór de opening van de bouwplaats zichtbaar of herkenbaar zijn, en dat hij na de indiening van de offerte de uitvoeringsvoorwaarden van de opdracht derhalve niet in twijfel kan trekken.</w:t>
      </w:r>
    </w:p>
    <w:p w:rsidR="007355A0" w:rsidRPr="00262EA8" w:rsidRDefault="007355A0" w:rsidP="002B0E9D">
      <w:pPr>
        <w:spacing w:line="240" w:lineRule="auto"/>
        <w:ind w:firstLine="567"/>
        <w:jc w:val="both"/>
      </w:pPr>
    </w:p>
    <w:p w:rsidR="00814EA5" w:rsidRPr="00360EA6" w:rsidRDefault="00814EA5" w:rsidP="00825EAF">
      <w:pPr>
        <w:pStyle w:val="Heading1"/>
        <w:tabs>
          <w:tab w:val="clear" w:pos="851"/>
        </w:tabs>
        <w:ind w:left="567" w:hanging="567"/>
      </w:pPr>
      <w:bookmarkStart w:id="63" w:name="_Toc254182820"/>
      <w:bookmarkStart w:id="64" w:name="_Toc447616553"/>
      <w:bookmarkStart w:id="65" w:name="_Toc459787972"/>
      <w:r>
        <w:t>Contacten tussen de aanbestedende dienst en de inschrijvers</w:t>
      </w:r>
      <w:bookmarkEnd w:id="63"/>
      <w:bookmarkEnd w:id="64"/>
      <w:bookmarkEnd w:id="65"/>
    </w:p>
    <w:p w:rsidR="00814EA5" w:rsidRDefault="00814EA5" w:rsidP="00825EAF">
      <w:pPr>
        <w:spacing w:line="240" w:lineRule="auto"/>
        <w:ind w:left="567"/>
        <w:jc w:val="both"/>
      </w:pPr>
      <w:r>
        <w:t>Contacten tussen de aanbestedende dienst en de inschrijvers zijn tijdens de aanbestedings</w:t>
      </w:r>
      <w:r w:rsidR="00845EE9">
        <w:softHyphen/>
      </w:r>
      <w:r>
        <w:t>procedure bij wijze van uitzondering toegestaan in de volgende omstandigheden:</w:t>
      </w:r>
    </w:p>
    <w:p w:rsidR="007355A0" w:rsidRPr="00360EA6" w:rsidRDefault="007355A0" w:rsidP="007355A0">
      <w:pPr>
        <w:pStyle w:val="Heading2"/>
        <w:numPr>
          <w:ilvl w:val="1"/>
          <w:numId w:val="11"/>
        </w:numPr>
        <w:tabs>
          <w:tab w:val="clear" w:pos="851"/>
        </w:tabs>
        <w:ind w:left="567" w:hanging="567"/>
      </w:pPr>
      <w:bookmarkStart w:id="66" w:name="_Toc459787973"/>
      <w:r>
        <w:t>Informatievergadering:</w:t>
      </w:r>
      <w:bookmarkEnd w:id="66"/>
      <w:r>
        <w:t xml:space="preserve"> </w:t>
      </w:r>
    </w:p>
    <w:p w:rsidR="007355A0" w:rsidRPr="00360EA6" w:rsidRDefault="007355A0" w:rsidP="007355A0">
      <w:pPr>
        <w:spacing w:line="240" w:lineRule="auto"/>
        <w:ind w:left="567"/>
        <w:jc w:val="both"/>
      </w:pPr>
      <w:r>
        <w:t>Alvorens de offerte in te dienen worden potentiële inschrijvers uitgenodigd om deel te nemen aan een door het secretariaat georganiseerde informatievergadering, die hen in staat moet stellen de context en de omvang van de gevraagde werkzaamheden in te schatten.</w:t>
      </w:r>
    </w:p>
    <w:p w:rsidR="007355A0" w:rsidRPr="00262EA8" w:rsidRDefault="007355A0" w:rsidP="007355A0">
      <w:pPr>
        <w:jc w:val="both"/>
      </w:pPr>
    </w:p>
    <w:p w:rsidR="007355A0" w:rsidRPr="00360EA6" w:rsidRDefault="007355A0" w:rsidP="00600ED6">
      <w:pPr>
        <w:pStyle w:val="Normal05"/>
        <w:ind w:left="567"/>
        <w:jc w:val="both"/>
      </w:pPr>
      <w:r>
        <w:t>D</w:t>
      </w:r>
      <w:r w:rsidR="00600ED6">
        <w:t>rie informatievergadering vinden</w:t>
      </w:r>
      <w:r>
        <w:t xml:space="preserve"> plaats op </w:t>
      </w:r>
      <w:r w:rsidR="00AB6290">
        <w:rPr>
          <w:b/>
          <w:bCs/>
        </w:rPr>
        <w:t>21</w:t>
      </w:r>
      <w:r>
        <w:rPr>
          <w:b/>
          <w:bCs/>
        </w:rPr>
        <w:t> </w:t>
      </w:r>
      <w:r w:rsidR="00600ED6">
        <w:rPr>
          <w:b/>
          <w:bCs/>
        </w:rPr>
        <w:t>september</w:t>
      </w:r>
      <w:r>
        <w:rPr>
          <w:b/>
          <w:bCs/>
        </w:rPr>
        <w:t xml:space="preserve"> 2016 om 10.00 uur of op </w:t>
      </w:r>
      <w:r w:rsidR="00AB6290">
        <w:rPr>
          <w:b/>
          <w:bCs/>
        </w:rPr>
        <w:t>22</w:t>
      </w:r>
      <w:r w:rsidR="00600ED6">
        <w:rPr>
          <w:b/>
          <w:bCs/>
        </w:rPr>
        <w:t xml:space="preserve"> september 2016 </w:t>
      </w:r>
      <w:r>
        <w:rPr>
          <w:b/>
          <w:bCs/>
        </w:rPr>
        <w:t>om</w:t>
      </w:r>
      <w:r w:rsidR="00845EE9">
        <w:rPr>
          <w:b/>
          <w:bCs/>
        </w:rPr>
        <w:t> </w:t>
      </w:r>
      <w:r>
        <w:rPr>
          <w:b/>
          <w:bCs/>
        </w:rPr>
        <w:t>10.00 uur</w:t>
      </w:r>
      <w:r w:rsidR="00AB6290">
        <w:rPr>
          <w:b/>
          <w:bCs/>
        </w:rPr>
        <w:t xml:space="preserve"> of op 23</w:t>
      </w:r>
      <w:r w:rsidR="00600ED6">
        <w:rPr>
          <w:b/>
          <w:bCs/>
        </w:rPr>
        <w:t> september 2016 om 10.00 uur</w:t>
      </w:r>
      <w:r>
        <w:rPr>
          <w:b/>
          <w:bCs/>
        </w:rPr>
        <w:t>.</w:t>
      </w:r>
    </w:p>
    <w:p w:rsidR="007355A0" w:rsidRPr="00262EA8" w:rsidRDefault="007355A0" w:rsidP="007355A0">
      <w:pPr>
        <w:pStyle w:val="Normal05"/>
        <w:jc w:val="both"/>
      </w:pPr>
    </w:p>
    <w:p w:rsidR="007355A0" w:rsidRPr="00360EA6" w:rsidRDefault="007355A0" w:rsidP="007355A0">
      <w:pPr>
        <w:pStyle w:val="Normal05"/>
        <w:ind w:left="567"/>
        <w:jc w:val="both"/>
      </w:pPr>
      <w:r>
        <w:t>De aanwezigheid is verplicht. Een locatiebezoek vóór het indienen van de offerte vormt een verplichte voorwaarde voor de materiële geldigheid daarvan.</w:t>
      </w:r>
    </w:p>
    <w:p w:rsidR="007355A0" w:rsidRPr="00262EA8" w:rsidRDefault="007355A0" w:rsidP="007355A0">
      <w:pPr>
        <w:pStyle w:val="Normal05"/>
        <w:ind w:left="567"/>
        <w:jc w:val="both"/>
      </w:pPr>
    </w:p>
    <w:p w:rsidR="007355A0" w:rsidRPr="00360EA6" w:rsidRDefault="007355A0" w:rsidP="007355A0">
      <w:pPr>
        <w:pStyle w:val="Normal05"/>
        <w:ind w:left="567"/>
        <w:jc w:val="both"/>
      </w:pPr>
      <w:r>
        <w:t>Iedere potentiële inschrijver kan ten hoogste twee (2) vertegenwoordigers naar deze informatie</w:t>
      </w:r>
      <w:r w:rsidR="00845EE9">
        <w:softHyphen/>
      </w:r>
      <w:r>
        <w:t>vergadering sturen.</w:t>
      </w:r>
    </w:p>
    <w:p w:rsidR="007355A0" w:rsidRPr="00360EA6" w:rsidRDefault="009D210D" w:rsidP="007355A0">
      <w:pPr>
        <w:pStyle w:val="Normal05"/>
        <w:jc w:val="both"/>
      </w:pPr>
      <w:r>
        <w:br w:type="page"/>
      </w:r>
    </w:p>
    <w:p w:rsidR="007355A0" w:rsidRPr="00360EA6" w:rsidRDefault="007355A0" w:rsidP="00845EE9">
      <w:pPr>
        <w:pStyle w:val="Normal05"/>
        <w:ind w:left="567"/>
        <w:jc w:val="both"/>
      </w:pPr>
      <w:r>
        <w:t>Tijdens deze sessie zullen de deelnemers vragen kunnen stellen die zij nuttig achten met betrekking tot de procedure en het voorwerp van de overeenkomst. De antwoorden op alle</w:t>
      </w:r>
      <w:r w:rsidR="00845EE9">
        <w:t> </w:t>
      </w:r>
      <w:r>
        <w:t>gestelde vragen zullen vervolgens gebundeld aan alle potentiële inschrijvers worden</w:t>
      </w:r>
      <w:r w:rsidR="00845EE9">
        <w:t> </w:t>
      </w:r>
      <w:r>
        <w:t>gezonden.</w:t>
      </w:r>
    </w:p>
    <w:p w:rsidR="007355A0" w:rsidRPr="00262EA8" w:rsidRDefault="007355A0" w:rsidP="007355A0">
      <w:pPr>
        <w:pStyle w:val="Normal05"/>
        <w:jc w:val="both"/>
      </w:pPr>
    </w:p>
    <w:p w:rsidR="007355A0" w:rsidRPr="00F57162" w:rsidRDefault="007355A0" w:rsidP="00AB6290">
      <w:pPr>
        <w:pStyle w:val="Normal05"/>
        <w:ind w:left="567"/>
        <w:jc w:val="both"/>
      </w:pPr>
      <w:r>
        <w:t xml:space="preserve">Met het oog op de bevestiging van hun aanwezigheid en het regelen van de praktische details van de deelname moeten de potentiële inschrijvers uiterlijk op </w:t>
      </w:r>
      <w:r w:rsidR="00AB6290" w:rsidRPr="00AB6290">
        <w:rPr>
          <w:b/>
          <w:bCs/>
        </w:rPr>
        <w:t>5 Oktober</w:t>
      </w:r>
      <w:r w:rsidR="00524C7D">
        <w:rPr>
          <w:b/>
          <w:bCs/>
        </w:rPr>
        <w:t xml:space="preserve"> </w:t>
      </w:r>
      <w:r>
        <w:rPr>
          <w:b/>
          <w:bCs/>
        </w:rPr>
        <w:t>2016</w:t>
      </w:r>
      <w:r>
        <w:t xml:space="preserve"> om 17.00 uur contact met de Eenheid voor de coördinatie van de aankopen opnemen op een van de volgende wijzen:</w:t>
      </w:r>
    </w:p>
    <w:p w:rsidR="007355A0" w:rsidRPr="00360EA6" w:rsidRDefault="007355A0" w:rsidP="007355A0">
      <w:pPr>
        <w:pStyle w:val="Normal05"/>
        <w:ind w:left="1134"/>
        <w:jc w:val="both"/>
      </w:pPr>
      <w:r>
        <w:t>Tel: +32 2 281 8062</w:t>
      </w:r>
    </w:p>
    <w:p w:rsidR="007355A0" w:rsidRPr="00360EA6" w:rsidRDefault="007355A0" w:rsidP="007355A0">
      <w:pPr>
        <w:pStyle w:val="Normal05"/>
        <w:ind w:left="1134"/>
        <w:jc w:val="both"/>
      </w:pPr>
      <w:r>
        <w:t>Fax: +32 2 281 8093</w:t>
      </w:r>
    </w:p>
    <w:p w:rsidR="007355A0" w:rsidRPr="00360EA6" w:rsidRDefault="007355A0" w:rsidP="007355A0">
      <w:pPr>
        <w:pStyle w:val="Normal05"/>
        <w:ind w:left="1134"/>
        <w:jc w:val="both"/>
      </w:pPr>
      <w:r>
        <w:t xml:space="preserve">e-mail: tendering@consilium.europa.eu </w:t>
      </w:r>
    </w:p>
    <w:p w:rsidR="007355A0" w:rsidRPr="00262EA8" w:rsidRDefault="007355A0" w:rsidP="007355A0">
      <w:pPr>
        <w:pStyle w:val="Normal05"/>
        <w:jc w:val="both"/>
      </w:pPr>
    </w:p>
    <w:p w:rsidR="007355A0" w:rsidRPr="00360EA6" w:rsidRDefault="007355A0" w:rsidP="00524C7D">
      <w:pPr>
        <w:pStyle w:val="Normal05"/>
        <w:ind w:left="567"/>
        <w:jc w:val="both"/>
      </w:pPr>
      <w:r>
        <w:t xml:space="preserve">Om tot de gebouwen van de Raad te worden toegelaten, zijn de potentiële inschrijvers verplicht de persoonlijke gegevens van de deelnemers (naam van de onderneming, naam en voornaam, nummer van de identiteitskaart of het paspoort) te verstrekken, alsook de nummerplaat van ieder voertuig waarvoor een parkeerplaats wordt gevraagd, zulks uiterlijk op </w:t>
      </w:r>
      <w:bookmarkStart w:id="67" w:name="_GoBack"/>
      <w:bookmarkEnd w:id="67"/>
      <w:r w:rsidR="00AB6290">
        <w:rPr>
          <w:b/>
          <w:bCs/>
        </w:rPr>
        <w:t>19</w:t>
      </w:r>
      <w:r w:rsidR="00524C7D">
        <w:rPr>
          <w:b/>
          <w:bCs/>
        </w:rPr>
        <w:t xml:space="preserve"> september </w:t>
      </w:r>
      <w:r>
        <w:rPr>
          <w:b/>
          <w:bCs/>
        </w:rPr>
        <w:t>2016</w:t>
      </w:r>
      <w:r>
        <w:t xml:space="preserve"> om 17 uur. Als deze gegevens niet tijdig worden meegedeeld, kan hun geen toegang worden gegarandeerd.</w:t>
      </w:r>
    </w:p>
    <w:p w:rsidR="007355A0" w:rsidRPr="00262EA8" w:rsidRDefault="007355A0" w:rsidP="007355A0">
      <w:pPr>
        <w:pStyle w:val="Normal05"/>
        <w:jc w:val="both"/>
      </w:pPr>
    </w:p>
    <w:p w:rsidR="007355A0" w:rsidRPr="00360EA6" w:rsidRDefault="007355A0" w:rsidP="007355A0">
      <w:pPr>
        <w:pStyle w:val="Normal05"/>
        <w:ind w:left="567"/>
        <w:jc w:val="both"/>
      </w:pPr>
      <w:r>
        <w:t>De deelnemers worden ontvangen aan de hoofdingang van het Justus Lipsiusgebouw. Voetgangers komen binnen via Wetstraat nr. 175 te 1040 Brussel. De voertuigen waarvoor een vergunning is verleend, krijgen toegang tot de bezoekersparkeerplaats (ingang: Froissartstraat 112)</w:t>
      </w:r>
    </w:p>
    <w:p w:rsidR="007355A0" w:rsidRPr="00262EA8" w:rsidRDefault="007355A0" w:rsidP="00825EAF">
      <w:pPr>
        <w:spacing w:line="240" w:lineRule="auto"/>
        <w:ind w:left="567"/>
        <w:jc w:val="both"/>
      </w:pPr>
    </w:p>
    <w:p w:rsidR="00814EA5" w:rsidRPr="00262EA8" w:rsidRDefault="00814EA5" w:rsidP="00825EAF">
      <w:pPr>
        <w:pStyle w:val="Normal05"/>
        <w:ind w:left="567"/>
        <w:jc w:val="both"/>
      </w:pPr>
    </w:p>
    <w:p w:rsidR="00814EA5" w:rsidRPr="00360EA6" w:rsidRDefault="00814EA5" w:rsidP="00825EAF">
      <w:pPr>
        <w:pStyle w:val="Heading2"/>
        <w:numPr>
          <w:ilvl w:val="1"/>
          <w:numId w:val="11"/>
        </w:numPr>
        <w:tabs>
          <w:tab w:val="clear" w:pos="851"/>
        </w:tabs>
        <w:ind w:left="567" w:hanging="567"/>
      </w:pPr>
      <w:bookmarkStart w:id="68" w:name="_Toc254182822"/>
      <w:bookmarkStart w:id="69" w:name="_Toc447616554"/>
      <w:bookmarkStart w:id="70" w:name="_Toc459787974"/>
      <w:r>
        <w:t>Vóór de sluitingsdatum van inschrijving:</w:t>
      </w:r>
      <w:bookmarkEnd w:id="68"/>
      <w:bookmarkEnd w:id="69"/>
      <w:bookmarkEnd w:id="70"/>
      <w:r>
        <w:t xml:space="preserve"> </w:t>
      </w:r>
    </w:p>
    <w:p w:rsidR="007355A0" w:rsidRPr="00262EA8" w:rsidRDefault="007355A0" w:rsidP="00825EAF">
      <w:pPr>
        <w:ind w:firstLine="567"/>
        <w:jc w:val="both"/>
      </w:pPr>
    </w:p>
    <w:p w:rsidR="00814EA5" w:rsidRPr="00360EA6" w:rsidRDefault="00814EA5" w:rsidP="00825EAF">
      <w:pPr>
        <w:ind w:firstLine="567"/>
        <w:jc w:val="both"/>
      </w:pPr>
      <w:r>
        <w:t>Vóór de sluitingsdatum van inschrijving en uitsluitend schriftelijk,</w:t>
      </w:r>
    </w:p>
    <w:p w:rsidR="00814EA5" w:rsidRPr="00262EA8" w:rsidRDefault="00814EA5" w:rsidP="00825EAF">
      <w:pPr>
        <w:spacing w:line="240" w:lineRule="auto"/>
        <w:jc w:val="both"/>
      </w:pPr>
    </w:p>
    <w:p w:rsidR="00814EA5" w:rsidRPr="00360EA6" w:rsidRDefault="00814EA5" w:rsidP="00825EAF">
      <w:pPr>
        <w:pStyle w:val="Normal05"/>
        <w:numPr>
          <w:ilvl w:val="0"/>
          <w:numId w:val="13"/>
        </w:numPr>
        <w:jc w:val="both"/>
      </w:pPr>
      <w:r>
        <w:t>kan het secretariaat aanvullende inlichtingen over de inschrijvingsdocumenten verstrekken aan de potentiële inschrijvers die daarom hebben verzocht, zulks uitsluitend om de aard van de opdracht te verduidelijken. Er wordt niet geantwoord op verzoeken die minder dan zes (6) kalenderdagen voor de uiterste datum van ontvangst van de offertes zijn ontvangen;</w:t>
      </w:r>
    </w:p>
    <w:p w:rsidR="00814EA5" w:rsidRPr="00360EA6" w:rsidRDefault="00814EA5" w:rsidP="00825EAF">
      <w:pPr>
        <w:pStyle w:val="Normal05"/>
        <w:numPr>
          <w:ilvl w:val="0"/>
          <w:numId w:val="13"/>
        </w:numPr>
        <w:jc w:val="both"/>
      </w:pPr>
      <w:r>
        <w:t>als het secretariaat een fout, een onnauwkeurigheid, een nalatigheid of enige andere materiële onvolkomenheid in de bewoordingen van de inschrijvingsdocumenten ontdekt, kan het de gegadigden daarvan in kennis stellen.</w:t>
      </w:r>
    </w:p>
    <w:p w:rsidR="00814EA5" w:rsidRPr="00262EA8" w:rsidRDefault="00814EA5" w:rsidP="00825EAF">
      <w:pPr>
        <w:pStyle w:val="Normal05"/>
        <w:ind w:left="644"/>
        <w:jc w:val="both"/>
      </w:pPr>
    </w:p>
    <w:p w:rsidR="00814EA5" w:rsidRPr="00360EA6" w:rsidRDefault="00814EA5" w:rsidP="00825EAF">
      <w:pPr>
        <w:pStyle w:val="Normal05"/>
        <w:ind w:left="567"/>
        <w:jc w:val="both"/>
      </w:pPr>
      <w:r>
        <w:t>Bovengenoemde informatie wordt op dezelfde datum aan alle inschrijvers medegedeeld.</w:t>
      </w:r>
    </w:p>
    <w:p w:rsidR="00814EA5" w:rsidRPr="00360EA6" w:rsidRDefault="009D210D" w:rsidP="00825EAF">
      <w:pPr>
        <w:pStyle w:val="Normal05"/>
        <w:jc w:val="both"/>
      </w:pPr>
      <w:r>
        <w:br w:type="page"/>
      </w:r>
    </w:p>
    <w:p w:rsidR="004E3925" w:rsidRDefault="00814EA5" w:rsidP="00825EAF">
      <w:pPr>
        <w:pStyle w:val="Heading2"/>
        <w:numPr>
          <w:ilvl w:val="1"/>
          <w:numId w:val="11"/>
        </w:numPr>
        <w:tabs>
          <w:tab w:val="clear" w:pos="851"/>
        </w:tabs>
        <w:ind w:left="567" w:hanging="567"/>
      </w:pPr>
      <w:bookmarkStart w:id="71" w:name="_Toc254182823"/>
      <w:bookmarkStart w:id="72" w:name="_Toc447616555"/>
      <w:bookmarkStart w:id="73" w:name="_Toc459787975"/>
      <w:r>
        <w:t>Na de opening van de offertes:</w:t>
      </w:r>
      <w:bookmarkStart w:id="74" w:name="_Toc254182824"/>
      <w:bookmarkEnd w:id="71"/>
      <w:bookmarkEnd w:id="72"/>
      <w:bookmarkEnd w:id="73"/>
    </w:p>
    <w:p w:rsidR="00814EA5" w:rsidRPr="00095E20" w:rsidRDefault="004E3925" w:rsidP="00095E20">
      <w:pPr>
        <w:pStyle w:val="Heading2"/>
        <w:numPr>
          <w:ilvl w:val="0"/>
          <w:numId w:val="0"/>
        </w:numPr>
      </w:pPr>
      <w:r>
        <w:tab/>
      </w:r>
      <w:bookmarkStart w:id="75" w:name="_Toc447616556"/>
      <w:bookmarkStart w:id="76" w:name="_Toc459787976"/>
      <w:r>
        <w:t>2.1</w:t>
      </w:r>
      <w:r w:rsidR="00DA5A7B">
        <w:t>.</w:t>
      </w:r>
      <w:r>
        <w:t xml:space="preserve"> Verduidelijkingen en correcties</w:t>
      </w:r>
      <w:bookmarkEnd w:id="74"/>
      <w:bookmarkEnd w:id="75"/>
      <w:bookmarkEnd w:id="76"/>
      <w:r>
        <w:t xml:space="preserve"> </w:t>
      </w:r>
    </w:p>
    <w:p w:rsidR="00814EA5" w:rsidRPr="00095E20" w:rsidRDefault="00814EA5" w:rsidP="00825EAF">
      <w:pPr>
        <w:spacing w:line="240" w:lineRule="auto"/>
        <w:ind w:left="567"/>
        <w:jc w:val="both"/>
      </w:pPr>
      <w:r>
        <w:t xml:space="preserve">Indien een offerte aanleiding geeft tot een verzoek om verduidelijking of indien duidelijk materiële fouten in de bewoordingen van de offerte moeten worden gecorrigeerd, kan het secretariaat met de inschrijver contact opnemen, maar dit contact mag niet leiden tot wijziging van de voorwaarden van de offerte. </w:t>
      </w:r>
    </w:p>
    <w:p w:rsidR="00814EA5" w:rsidRPr="00095E20" w:rsidRDefault="00814EA5" w:rsidP="00825EAF">
      <w:pPr>
        <w:spacing w:line="240" w:lineRule="auto"/>
        <w:ind w:left="567"/>
        <w:jc w:val="both"/>
      </w:pPr>
      <w:r>
        <w:t>De inschrijvers moeten binnen een termijn van vijf kalenderdagen antwoorden op dergelijke verzoeken.</w:t>
      </w:r>
    </w:p>
    <w:p w:rsidR="00814EA5" w:rsidRPr="00262EA8" w:rsidRDefault="00814EA5" w:rsidP="00825EAF">
      <w:pPr>
        <w:spacing w:line="240" w:lineRule="auto"/>
        <w:ind w:left="567"/>
        <w:jc w:val="both"/>
      </w:pPr>
    </w:p>
    <w:p w:rsidR="00814EA5" w:rsidRPr="00095E20" w:rsidRDefault="004E3925" w:rsidP="00095E20">
      <w:pPr>
        <w:pStyle w:val="Heading3"/>
        <w:numPr>
          <w:ilvl w:val="0"/>
          <w:numId w:val="0"/>
        </w:numPr>
        <w:rPr>
          <w:b/>
          <w:i w:val="0"/>
        </w:rPr>
      </w:pPr>
      <w:bookmarkStart w:id="77" w:name="_Toc254182825"/>
      <w:r>
        <w:rPr>
          <w:b/>
          <w:i w:val="0"/>
        </w:rPr>
        <w:tab/>
      </w:r>
      <w:bookmarkStart w:id="78" w:name="_Toc447616557"/>
      <w:bookmarkStart w:id="79" w:name="_Toc459787977"/>
      <w:r>
        <w:rPr>
          <w:b/>
          <w:i w:val="0"/>
        </w:rPr>
        <w:t>2.2. Kennisgeving</w:t>
      </w:r>
      <w:bookmarkEnd w:id="77"/>
      <w:bookmarkEnd w:id="78"/>
      <w:bookmarkEnd w:id="79"/>
    </w:p>
    <w:p w:rsidR="00814EA5" w:rsidRPr="00095E20" w:rsidRDefault="00814EA5" w:rsidP="00825EAF">
      <w:pPr>
        <w:spacing w:line="240" w:lineRule="auto"/>
        <w:ind w:left="567"/>
        <w:jc w:val="both"/>
      </w:pPr>
      <w:r>
        <w:t>Alle inschrijvers worden schriftelijk in kennis gesteld van de beslissingen die over de gunning van de opdracht zijn genomen.</w:t>
      </w:r>
    </w:p>
    <w:p w:rsidR="00814EA5" w:rsidRPr="00262EA8" w:rsidRDefault="00814EA5" w:rsidP="00825EAF">
      <w:pPr>
        <w:spacing w:line="240" w:lineRule="auto"/>
        <w:ind w:left="567"/>
        <w:jc w:val="both"/>
      </w:pPr>
    </w:p>
    <w:p w:rsidR="00814EA5" w:rsidRPr="00095E20" w:rsidRDefault="00814EA5" w:rsidP="00825EAF">
      <w:pPr>
        <w:pStyle w:val="Heading2"/>
        <w:numPr>
          <w:ilvl w:val="1"/>
          <w:numId w:val="11"/>
        </w:numPr>
        <w:tabs>
          <w:tab w:val="clear" w:pos="851"/>
        </w:tabs>
        <w:ind w:left="567" w:hanging="567"/>
      </w:pPr>
      <w:bookmarkStart w:id="80" w:name="_Toc254182826"/>
      <w:bookmarkStart w:id="81" w:name="_Toc447616558"/>
      <w:bookmarkStart w:id="82" w:name="_Toc459787978"/>
      <w:r>
        <w:t>Centrale contactpunten</w:t>
      </w:r>
      <w:bookmarkEnd w:id="80"/>
      <w:bookmarkEnd w:id="81"/>
      <w:bookmarkEnd w:id="82"/>
    </w:p>
    <w:p w:rsidR="00814EA5" w:rsidRPr="005C07A4" w:rsidRDefault="004E3925" w:rsidP="00095E20">
      <w:pPr>
        <w:pStyle w:val="Heading2"/>
        <w:numPr>
          <w:ilvl w:val="0"/>
          <w:numId w:val="0"/>
        </w:numPr>
      </w:pPr>
      <w:bookmarkStart w:id="83" w:name="_Toc254182827"/>
      <w:r>
        <w:tab/>
      </w:r>
      <w:bookmarkStart w:id="84" w:name="_Toc447616559"/>
      <w:bookmarkStart w:id="85" w:name="_Toc459787979"/>
      <w:r>
        <w:t>3.1</w:t>
      </w:r>
      <w:r w:rsidR="00DA5A7B">
        <w:t>.</w:t>
      </w:r>
      <w:r>
        <w:t xml:space="preserve"> Contactpunt bij de inschrijver</w:t>
      </w:r>
      <w:bookmarkEnd w:id="83"/>
      <w:bookmarkEnd w:id="84"/>
      <w:bookmarkEnd w:id="85"/>
    </w:p>
    <w:p w:rsidR="00814EA5" w:rsidRPr="00360EA6" w:rsidRDefault="00814EA5" w:rsidP="00825EAF">
      <w:pPr>
        <w:spacing w:line="240" w:lineRule="auto"/>
        <w:ind w:left="567"/>
        <w:jc w:val="both"/>
      </w:pPr>
      <w:r>
        <w:t>De inschrijver moet in zijn offerte (zie punt I.1.1. - begeleidende brief) één centraal contactpunt vermelden.</w:t>
      </w:r>
    </w:p>
    <w:p w:rsidR="00814EA5" w:rsidRPr="00360EA6" w:rsidRDefault="00814EA5" w:rsidP="00825EAF">
      <w:pPr>
        <w:spacing w:line="240" w:lineRule="auto"/>
        <w:ind w:left="567"/>
        <w:jc w:val="both"/>
      </w:pPr>
      <w:r>
        <w:t xml:space="preserve">De in punt </w:t>
      </w:r>
      <w:r w:rsidRPr="006D4147">
        <w:fldChar w:fldCharType="begin"/>
      </w:r>
      <w:r w:rsidRPr="006D4147">
        <w:instrText xml:space="preserve"> REF _Ref224709071 \r \h  \* MERGEFORMAT </w:instrText>
      </w:r>
      <w:r w:rsidRPr="006D4147">
        <w:fldChar w:fldCharType="separate"/>
      </w:r>
      <w:r w:rsidR="00D73A63">
        <w:rPr>
          <w:cs/>
        </w:rPr>
        <w:t>‎</w:t>
      </w:r>
      <w:r w:rsidR="00D73A63">
        <w:rPr>
          <w:rtl/>
          <w:cs/>
        </w:rPr>
        <w:t>V</w:t>
      </w:r>
      <w:r w:rsidRPr="006D4147">
        <w:fldChar w:fldCharType="end"/>
      </w:r>
      <w:r>
        <w:t xml:space="preserve"> hierboven bedoelde uitwisselingen verlopen uitsluitend tussen dit contactpunt en het hierna genoemde contactpunt voor het secretariaat.</w:t>
      </w:r>
    </w:p>
    <w:p w:rsidR="00814EA5" w:rsidRPr="00262EA8" w:rsidRDefault="00814EA5" w:rsidP="00825EAF">
      <w:pPr>
        <w:jc w:val="both"/>
      </w:pPr>
    </w:p>
    <w:p w:rsidR="00814EA5" w:rsidRPr="004E3925" w:rsidRDefault="004E3925" w:rsidP="00DA5A7B">
      <w:pPr>
        <w:pStyle w:val="Heading3"/>
        <w:numPr>
          <w:ilvl w:val="0"/>
          <w:numId w:val="0"/>
        </w:numPr>
        <w:rPr>
          <w:b/>
          <w:i w:val="0"/>
        </w:rPr>
      </w:pPr>
      <w:bookmarkStart w:id="86" w:name="_Toc254182828"/>
      <w:r>
        <w:rPr>
          <w:b/>
          <w:i w:val="0"/>
        </w:rPr>
        <w:tab/>
      </w:r>
      <w:bookmarkStart w:id="87" w:name="_Toc447616560"/>
      <w:bookmarkStart w:id="88" w:name="_Toc459787980"/>
      <w:r>
        <w:rPr>
          <w:b/>
          <w:i w:val="0"/>
        </w:rPr>
        <w:t>3.2</w:t>
      </w:r>
      <w:r w:rsidR="00DA5A7B">
        <w:rPr>
          <w:b/>
          <w:i w:val="0"/>
        </w:rPr>
        <w:t>.</w:t>
      </w:r>
      <w:r>
        <w:rPr>
          <w:b/>
          <w:i w:val="0"/>
        </w:rPr>
        <w:t xml:space="preserve"> Contactpunt bij het secretariaat</w:t>
      </w:r>
      <w:bookmarkEnd w:id="86"/>
      <w:bookmarkEnd w:id="87"/>
      <w:bookmarkEnd w:id="88"/>
    </w:p>
    <w:p w:rsidR="00814EA5" w:rsidRPr="00360EA6" w:rsidRDefault="00814EA5" w:rsidP="00825EAF">
      <w:pPr>
        <w:ind w:firstLine="567"/>
        <w:jc w:val="both"/>
      </w:pPr>
      <w:r>
        <w:t>Het adres van het centrale contactpunt</w:t>
      </w:r>
      <w:r w:rsidRPr="006D4147">
        <w:rPr>
          <w:rStyle w:val="FootnoteReference"/>
        </w:rPr>
        <w:footnoteReference w:id="6"/>
      </w:r>
      <w:r>
        <w:t xml:space="preserve"> bij het secretariaat is:</w:t>
      </w:r>
    </w:p>
    <w:p w:rsidR="00814EA5" w:rsidRPr="00360EA6" w:rsidRDefault="00814EA5" w:rsidP="00825EAF">
      <w:pPr>
        <w:spacing w:line="240" w:lineRule="auto"/>
        <w:ind w:left="1440"/>
        <w:jc w:val="both"/>
      </w:pPr>
      <w:r>
        <w:t>Secretariaat-generaal van de Raad van de Europese Unie</w:t>
      </w:r>
    </w:p>
    <w:p w:rsidR="00814EA5" w:rsidRPr="00360EA6" w:rsidRDefault="00814EA5" w:rsidP="00825EAF">
      <w:pPr>
        <w:spacing w:line="240" w:lineRule="auto"/>
        <w:ind w:left="1440"/>
        <w:jc w:val="both"/>
      </w:pPr>
      <w:r>
        <w:t>Eenheid voor de coördinatie van de aankopen, kamer 10-70-KL-77</w:t>
      </w:r>
    </w:p>
    <w:p w:rsidR="00814EA5" w:rsidRPr="00360EA6" w:rsidRDefault="00814EA5" w:rsidP="00825EAF">
      <w:pPr>
        <w:spacing w:line="240" w:lineRule="auto"/>
        <w:ind w:left="1440"/>
        <w:jc w:val="both"/>
      </w:pPr>
      <w:r>
        <w:t>Wetstraat 175 B-1048 Brussel (België)</w:t>
      </w:r>
    </w:p>
    <w:p w:rsidR="00814EA5" w:rsidRPr="00360EA6" w:rsidRDefault="00814EA5" w:rsidP="00825EAF">
      <w:pPr>
        <w:spacing w:line="240" w:lineRule="auto"/>
        <w:ind w:left="1440"/>
        <w:jc w:val="both"/>
      </w:pPr>
      <w:r>
        <w:t>Tel.:</w:t>
      </w:r>
      <w:r>
        <w:tab/>
      </w:r>
      <w:r>
        <w:tab/>
        <w:t>+32.2.281 8062</w:t>
      </w:r>
    </w:p>
    <w:p w:rsidR="00814EA5" w:rsidRPr="00262EA8" w:rsidRDefault="00814EA5" w:rsidP="002B0E9D">
      <w:pPr>
        <w:spacing w:line="240" w:lineRule="auto"/>
        <w:ind w:left="1440"/>
        <w:jc w:val="both"/>
        <w:rPr>
          <w:lang w:val="fr-BE"/>
        </w:rPr>
      </w:pPr>
      <w:r w:rsidRPr="00262EA8">
        <w:rPr>
          <w:lang w:val="fr-BE"/>
        </w:rPr>
        <w:t>Fax:</w:t>
      </w:r>
      <w:r w:rsidRPr="00262EA8">
        <w:rPr>
          <w:lang w:val="fr-BE"/>
        </w:rPr>
        <w:tab/>
        <w:t xml:space="preserve"> </w:t>
      </w:r>
      <w:r w:rsidRPr="00262EA8">
        <w:rPr>
          <w:lang w:val="fr-BE"/>
        </w:rPr>
        <w:tab/>
        <w:t>+32.2.280 0262</w:t>
      </w:r>
    </w:p>
    <w:p w:rsidR="00814EA5" w:rsidRPr="00262EA8" w:rsidRDefault="00814EA5" w:rsidP="00825EAF">
      <w:pPr>
        <w:spacing w:line="240" w:lineRule="auto"/>
        <w:ind w:left="1440"/>
        <w:jc w:val="both"/>
        <w:rPr>
          <w:lang w:val="fr-BE"/>
        </w:rPr>
      </w:pPr>
      <w:r w:rsidRPr="00262EA8">
        <w:rPr>
          <w:lang w:val="fr-BE"/>
        </w:rPr>
        <w:t>E</w:t>
      </w:r>
      <w:r w:rsidRPr="00262EA8">
        <w:rPr>
          <w:lang w:val="fr-BE"/>
        </w:rPr>
        <w:noBreakHyphen/>
        <w:t>mail:</w:t>
      </w:r>
      <w:r w:rsidRPr="00262EA8">
        <w:rPr>
          <w:lang w:val="fr-BE"/>
        </w:rPr>
        <w:tab/>
      </w:r>
      <w:hyperlink r:id="rId10" w:history="1">
        <w:r w:rsidRPr="00262EA8">
          <w:rPr>
            <w:rStyle w:val="Hyperlink"/>
            <w:lang w:val="fr-BE"/>
          </w:rPr>
          <w:t>tendering@consilium.europa.eu</w:t>
        </w:r>
      </w:hyperlink>
      <w:r w:rsidRPr="00262EA8">
        <w:rPr>
          <w:lang w:val="fr-BE"/>
        </w:rPr>
        <w:t xml:space="preserve"> </w:t>
      </w:r>
    </w:p>
    <w:p w:rsidR="00814EA5" w:rsidRPr="00262EA8" w:rsidRDefault="00814EA5" w:rsidP="00825EAF">
      <w:pPr>
        <w:spacing w:line="240" w:lineRule="auto"/>
        <w:ind w:left="1440"/>
        <w:jc w:val="both"/>
        <w:rPr>
          <w:lang w:val="fr-BE"/>
        </w:rPr>
      </w:pPr>
      <w:r w:rsidRPr="00262EA8">
        <w:rPr>
          <w:lang w:val="fr-BE"/>
        </w:rPr>
        <w:t>Internet:</w:t>
      </w:r>
      <w:r w:rsidRPr="00262EA8">
        <w:rPr>
          <w:lang w:val="fr-BE"/>
        </w:rPr>
        <w:tab/>
      </w:r>
      <w:hyperlink r:id="rId11" w:history="1">
        <w:r w:rsidRPr="00262EA8">
          <w:rPr>
            <w:rStyle w:val="Hyperlink"/>
            <w:lang w:val="fr-BE"/>
          </w:rPr>
          <w:t>https://tendering.consilium.europa.eu</w:t>
        </w:r>
      </w:hyperlink>
      <w:r w:rsidRPr="00262EA8">
        <w:rPr>
          <w:lang w:val="fr-BE"/>
        </w:rPr>
        <w:t xml:space="preserve"> </w:t>
      </w:r>
    </w:p>
    <w:p w:rsidR="00814EA5" w:rsidRPr="00262EA8" w:rsidRDefault="009D210D" w:rsidP="00825EAF">
      <w:pPr>
        <w:pStyle w:val="Normal05"/>
        <w:jc w:val="both"/>
        <w:rPr>
          <w:lang w:val="fr-BE"/>
        </w:rPr>
      </w:pPr>
      <w:r w:rsidRPr="00262EA8">
        <w:rPr>
          <w:lang w:val="fr-BE"/>
        </w:rPr>
        <w:br w:type="page"/>
      </w:r>
      <w:bookmarkStart w:id="89" w:name="ControlPages"/>
      <w:bookmarkEnd w:id="89"/>
    </w:p>
    <w:p w:rsidR="00814EA5" w:rsidRPr="00360EA6" w:rsidRDefault="00814EA5" w:rsidP="00825EAF">
      <w:pPr>
        <w:pStyle w:val="Heading1"/>
        <w:tabs>
          <w:tab w:val="clear" w:pos="851"/>
        </w:tabs>
        <w:ind w:left="567" w:hanging="567"/>
      </w:pPr>
      <w:bookmarkStart w:id="90" w:name="_Toc254182829"/>
      <w:bookmarkStart w:id="91" w:name="_Toc447616561"/>
      <w:bookmarkStart w:id="92" w:name="_Toc459787981"/>
      <w:r>
        <w:t>Clausule van beperkte aansprakelijkheid</w:t>
      </w:r>
      <w:bookmarkEnd w:id="90"/>
      <w:bookmarkEnd w:id="91"/>
      <w:bookmarkEnd w:id="92"/>
    </w:p>
    <w:p w:rsidR="00814EA5" w:rsidRPr="00360EA6" w:rsidRDefault="00814EA5" w:rsidP="00825EAF">
      <w:pPr>
        <w:pStyle w:val="Normal05"/>
        <w:ind w:left="567"/>
        <w:jc w:val="both"/>
      </w:pPr>
      <w:r>
        <w:t xml:space="preserve">Deze uitnodiging tot inschrijving houdt geenszins een verplichting in voor het secretariaat. </w:t>
      </w:r>
    </w:p>
    <w:p w:rsidR="00814EA5" w:rsidRPr="00360EA6" w:rsidRDefault="00814EA5" w:rsidP="00845EE9">
      <w:pPr>
        <w:pStyle w:val="Normal05"/>
        <w:ind w:left="567"/>
        <w:jc w:val="both"/>
      </w:pPr>
      <w:r>
        <w:t>De contractuele verplichting van het secretariaat gaat pas in bij de ondertekening van de</w:t>
      </w:r>
      <w:r w:rsidR="00845EE9">
        <w:t> </w:t>
      </w:r>
      <w:r>
        <w:t>overeenkomst met de gekozen inschrijver.</w:t>
      </w:r>
    </w:p>
    <w:p w:rsidR="00814EA5" w:rsidRPr="00262EA8" w:rsidRDefault="00814EA5" w:rsidP="00825EAF">
      <w:pPr>
        <w:pStyle w:val="Normal05"/>
        <w:jc w:val="both"/>
      </w:pPr>
    </w:p>
    <w:p w:rsidR="00814EA5" w:rsidRPr="00360EA6" w:rsidRDefault="00814EA5" w:rsidP="00825EAF">
      <w:pPr>
        <w:pStyle w:val="Normal05"/>
        <w:ind w:left="567"/>
        <w:jc w:val="both"/>
      </w:pPr>
      <w:r>
        <w:t xml:space="preserve">Het secretariaat kan tot op het ogenblik van de ondertekening van de overeenkomst afzien van de opdracht, de procedure voor het plaatsen van de opdracht annuleren of een overeenkomst sluiten die slechts een deel van de opdracht betreft, zonder dat de inschrijvers aanspraak kunnen maken op enige schadeloosstelling. Een dergelijk besluit moet met redenen worden omkleed en ter kennis van de inschrijvers worden gebracht. </w:t>
      </w:r>
    </w:p>
    <w:p w:rsidR="00814EA5" w:rsidRPr="006D4147" w:rsidRDefault="00735A02" w:rsidP="00825EAF">
      <w:pPr>
        <w:pStyle w:val="Heading1"/>
        <w:tabs>
          <w:tab w:val="clear" w:pos="851"/>
        </w:tabs>
        <w:ind w:left="567" w:hanging="567"/>
      </w:pPr>
      <w:bookmarkStart w:id="93" w:name="_Toc447616562"/>
      <w:bookmarkStart w:id="94" w:name="_Toc459787982"/>
      <w:r>
        <w:t>Bijlagen</w:t>
      </w:r>
      <w:bookmarkEnd w:id="93"/>
      <w:bookmarkEnd w:id="94"/>
    </w:p>
    <w:p w:rsidR="004E3925" w:rsidRPr="00D921AA" w:rsidRDefault="004E3925" w:rsidP="00825EAF">
      <w:pPr>
        <w:pStyle w:val="Normal05"/>
        <w:ind w:left="567"/>
        <w:jc w:val="both"/>
      </w:pPr>
      <w:r>
        <w:t>Onderstaande bijlagen zijn bijgevoegd:</w:t>
      </w:r>
    </w:p>
    <w:p w:rsidR="004E3925" w:rsidRPr="00046CCB" w:rsidRDefault="004E3925" w:rsidP="00825EAF">
      <w:pPr>
        <w:pStyle w:val="Normal05"/>
        <w:ind w:left="567"/>
        <w:jc w:val="both"/>
        <w:rPr>
          <w:highlight w:val="yellow"/>
          <w:lang w:val="fr-BE"/>
        </w:rPr>
      </w:pPr>
    </w:p>
    <w:p w:rsidR="004E3925" w:rsidRDefault="004E3925" w:rsidP="00825EAF">
      <w:pPr>
        <w:pStyle w:val="Normal05"/>
        <w:ind w:left="567"/>
        <w:jc w:val="both"/>
      </w:pPr>
      <w:r>
        <w:t xml:space="preserve">I. </w:t>
      </w:r>
      <w:r>
        <w:tab/>
        <w:t>Bestek:</w:t>
      </w:r>
    </w:p>
    <w:p w:rsidR="00E7395D" w:rsidRDefault="00E7395D" w:rsidP="00E7395D">
      <w:pPr>
        <w:pStyle w:val="Normal05"/>
        <w:ind w:left="567"/>
        <w:jc w:val="both"/>
      </w:pPr>
      <w:r>
        <w:tab/>
      </w:r>
      <w:r>
        <w:tab/>
        <w:t>Bijlage 1</w:t>
      </w:r>
      <w:r>
        <w:tab/>
        <w:t xml:space="preserve">: </w:t>
      </w:r>
      <w:r>
        <w:tab/>
        <w:t>Informatie over de inschrijver</w:t>
      </w:r>
    </w:p>
    <w:p w:rsidR="00E7395D" w:rsidRDefault="00E7395D" w:rsidP="002B0E9D">
      <w:pPr>
        <w:pStyle w:val="Normal05"/>
        <w:ind w:left="567"/>
        <w:jc w:val="both"/>
      </w:pPr>
      <w:r>
        <w:tab/>
      </w:r>
      <w:r>
        <w:tab/>
        <w:t>Bijlage 2</w:t>
      </w:r>
      <w:r>
        <w:tab/>
        <w:t xml:space="preserve">: </w:t>
      </w:r>
      <w:r>
        <w:tab/>
        <w:t>Functionele en technische specificaties</w:t>
      </w:r>
    </w:p>
    <w:p w:rsidR="00E7395D" w:rsidRPr="00D921AA" w:rsidRDefault="00E7395D" w:rsidP="009540D0">
      <w:pPr>
        <w:pStyle w:val="Normal05"/>
        <w:ind w:left="567"/>
        <w:jc w:val="both"/>
      </w:pPr>
      <w:r>
        <w:tab/>
      </w:r>
      <w:r>
        <w:tab/>
        <w:t>Bijlage 3</w:t>
      </w:r>
      <w:r>
        <w:tab/>
        <w:t>:</w:t>
      </w:r>
      <w:r>
        <w:tab/>
        <w:t>Technisch inschrijvingsformulier en financieel inschrijvings</w:t>
      </w:r>
      <w:r w:rsidR="00845EE9">
        <w:softHyphen/>
      </w:r>
      <w:r w:rsidR="00845EE9">
        <w:tab/>
      </w:r>
      <w:r w:rsidR="00845EE9">
        <w:tab/>
      </w:r>
      <w:r w:rsidR="00845EE9">
        <w:tab/>
      </w:r>
      <w:r w:rsidR="00845EE9">
        <w:tab/>
      </w:r>
      <w:r w:rsidR="00845EE9">
        <w:tab/>
      </w:r>
      <w:r>
        <w:t>formulier</w:t>
      </w:r>
    </w:p>
    <w:p w:rsidR="00E7395D" w:rsidRPr="00262EA8" w:rsidRDefault="00E7395D" w:rsidP="00E7395D">
      <w:pPr>
        <w:spacing w:line="240" w:lineRule="auto"/>
        <w:jc w:val="both"/>
      </w:pPr>
    </w:p>
    <w:p w:rsidR="00E7395D" w:rsidRPr="00262EA8" w:rsidRDefault="00E7395D" w:rsidP="00825EAF">
      <w:pPr>
        <w:pStyle w:val="Normal05"/>
        <w:ind w:left="567"/>
        <w:jc w:val="both"/>
      </w:pPr>
    </w:p>
    <w:p w:rsidR="0027198A" w:rsidRDefault="0027198A" w:rsidP="00F20DE9">
      <w:pPr>
        <w:pStyle w:val="Normal05"/>
        <w:ind w:left="567"/>
        <w:jc w:val="both"/>
      </w:pPr>
      <w:r>
        <w:t>II.</w:t>
      </w:r>
      <w:r>
        <w:tab/>
        <w:t>Ontwerpovereenkomst</w:t>
      </w:r>
    </w:p>
    <w:p w:rsidR="00DE05AC" w:rsidRPr="00262EA8" w:rsidRDefault="00DE05AC" w:rsidP="00F20DE9">
      <w:pPr>
        <w:pStyle w:val="Normal05"/>
        <w:ind w:left="567"/>
        <w:jc w:val="both"/>
      </w:pPr>
    </w:p>
    <w:p w:rsidR="00DE05AC" w:rsidRPr="00D921AA" w:rsidRDefault="00DE05AC" w:rsidP="00DE05AC">
      <w:pPr>
        <w:pStyle w:val="Normal05"/>
        <w:ind w:left="567"/>
        <w:jc w:val="both"/>
      </w:pPr>
      <w:r>
        <w:t xml:space="preserve">III. </w:t>
      </w:r>
      <w:r>
        <w:tab/>
        <w:t>Verklaring op erewoord betreffende uitsluitingssituaties</w:t>
      </w:r>
    </w:p>
    <w:p w:rsidR="002B0E9D" w:rsidRPr="00262EA8" w:rsidRDefault="002B0E9D" w:rsidP="002B0E9D">
      <w:pPr>
        <w:pStyle w:val="Normal05"/>
        <w:ind w:left="567"/>
        <w:jc w:val="both"/>
      </w:pPr>
    </w:p>
    <w:p w:rsidR="002B0E9D" w:rsidRPr="006D4147" w:rsidRDefault="002B0E9D" w:rsidP="002B0E9D">
      <w:pPr>
        <w:pStyle w:val="Normal05"/>
        <w:ind w:left="567"/>
        <w:jc w:val="center"/>
      </w:pPr>
      <w:r>
        <w:t>==============</w:t>
      </w:r>
    </w:p>
    <w:sectPr w:rsidR="002B0E9D" w:rsidRPr="006D4147" w:rsidSect="00990883">
      <w:footerReference w:type="even" r:id="rId12"/>
      <w:footerReference w:type="default" r:id="rId13"/>
      <w:endnotePr>
        <w:numFmt w:val="decimal"/>
      </w:endnotePr>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35" w:rsidRDefault="009A3535">
      <w:r>
        <w:separator/>
      </w:r>
    </w:p>
  </w:endnote>
  <w:endnote w:type="continuationSeparator" w:id="0">
    <w:p w:rsidR="009A3535" w:rsidRDefault="009A353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35" w:rsidRDefault="009A3535" w:rsidP="00990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535" w:rsidRDefault="009A3535" w:rsidP="009908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35" w:rsidRPr="00A142EE" w:rsidRDefault="009A3535" w:rsidP="00072241">
    <w:pPr>
      <w:pStyle w:val="Footer"/>
      <w:pBdr>
        <w:top w:val="thinThickSmallGap" w:sz="24" w:space="1" w:color="622423"/>
      </w:pBdr>
      <w:tabs>
        <w:tab w:val="clear" w:pos="7371"/>
        <w:tab w:val="clear" w:pos="9639"/>
        <w:tab w:val="right" w:pos="10206"/>
      </w:tabs>
      <w:ind w:left="-567" w:right="-567"/>
      <w:rPr>
        <w:b/>
        <w:bCs/>
        <w:sz w:val="20"/>
      </w:rPr>
    </w:pPr>
    <w:r>
      <w:rPr>
        <w:b/>
        <w:bCs/>
        <w:sz w:val="20"/>
      </w:rPr>
      <w:t>SN 2261/16</w:t>
    </w:r>
    <w:r>
      <w:rPr>
        <w:b/>
        <w:bCs/>
        <w:sz w:val="20"/>
      </w:rPr>
      <w:tab/>
    </w:r>
    <w:r>
      <w:rPr>
        <w:b/>
        <w:bCs/>
        <w:sz w:val="20"/>
      </w:rPr>
      <w:tab/>
      <w:t xml:space="preserve">Bladzijde </w:t>
    </w:r>
    <w:r w:rsidRPr="00A142EE">
      <w:rPr>
        <w:b/>
        <w:bCs/>
        <w:sz w:val="20"/>
      </w:rPr>
      <w:fldChar w:fldCharType="begin"/>
    </w:r>
    <w:r w:rsidRPr="00A142EE">
      <w:rPr>
        <w:b/>
        <w:bCs/>
        <w:sz w:val="20"/>
      </w:rPr>
      <w:instrText xml:space="preserve"> PAGE   \* MERGEFORMAT </w:instrText>
    </w:r>
    <w:r w:rsidRPr="00A142EE">
      <w:rPr>
        <w:b/>
        <w:bCs/>
        <w:sz w:val="20"/>
      </w:rPr>
      <w:fldChar w:fldCharType="separate"/>
    </w:r>
    <w:r w:rsidR="00AB6290">
      <w:rPr>
        <w:b/>
        <w:bCs/>
        <w:noProof/>
        <w:sz w:val="20"/>
      </w:rPr>
      <w:t>13</w:t>
    </w:r>
    <w:r w:rsidRPr="00A142EE">
      <w:rPr>
        <w:b/>
        <w:bCs/>
        <w:sz w:val="20"/>
      </w:rPr>
      <w:fldChar w:fldCharType="end"/>
    </w:r>
    <w:r>
      <w:rPr>
        <w:b/>
        <w:bCs/>
        <w:sz w:val="20"/>
      </w:rPr>
      <w:t xml:space="preserve"> van </w:t>
    </w:r>
    <w:r w:rsidRPr="00A142EE">
      <w:rPr>
        <w:b/>
        <w:bCs/>
        <w:sz w:val="20"/>
      </w:rPr>
      <w:fldChar w:fldCharType="begin"/>
    </w:r>
    <w:r w:rsidRPr="00A142EE">
      <w:rPr>
        <w:b/>
        <w:bCs/>
        <w:sz w:val="20"/>
      </w:rPr>
      <w:instrText xml:space="preserve"> NUMPAGES   \* MERGEFORMAT </w:instrText>
    </w:r>
    <w:r w:rsidRPr="00A142EE">
      <w:rPr>
        <w:b/>
        <w:bCs/>
        <w:sz w:val="20"/>
      </w:rPr>
      <w:fldChar w:fldCharType="separate"/>
    </w:r>
    <w:r w:rsidR="00AB6290">
      <w:rPr>
        <w:b/>
        <w:bCs/>
        <w:noProof/>
        <w:sz w:val="20"/>
      </w:rPr>
      <w:t>14</w:t>
    </w:r>
    <w:r w:rsidRPr="00A142EE">
      <w:rPr>
        <w:b/>
        <w:bCs/>
        <w:sz w:val="20"/>
      </w:rPr>
      <w:fldChar w:fldCharType="end"/>
    </w:r>
  </w:p>
  <w:p w:rsidR="009A3535" w:rsidRPr="00A142EE" w:rsidRDefault="009A3535" w:rsidP="00A2085D">
    <w:pPr>
      <w:pStyle w:val="Footer"/>
      <w:jc w:val="center"/>
    </w:pPr>
    <w:r>
      <w:t>DGA2B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35" w:rsidRDefault="009A3535">
      <w:pPr>
        <w:pStyle w:val="FootnoteText"/>
      </w:pPr>
      <w:r>
        <w:separator/>
      </w:r>
    </w:p>
  </w:footnote>
  <w:footnote w:type="continuationSeparator" w:id="0">
    <w:p w:rsidR="009A3535" w:rsidRDefault="009A3535">
      <w:pPr>
        <w:pStyle w:val="FootnoteText"/>
      </w:pPr>
      <w:r>
        <w:separator/>
      </w:r>
    </w:p>
  </w:footnote>
  <w:footnote w:id="1">
    <w:p w:rsidR="009A3535" w:rsidRPr="006D4147" w:rsidRDefault="009A3535" w:rsidP="00095E20">
      <w:pPr>
        <w:pStyle w:val="FootnoteText"/>
        <w:jc w:val="both"/>
      </w:pPr>
      <w:r>
        <w:rPr>
          <w:rStyle w:val="FootnoteReference"/>
        </w:rPr>
        <w:footnoteRef/>
      </w:r>
      <w:r>
        <w:t xml:space="preserve"> </w:t>
      </w:r>
      <w:r>
        <w:tab/>
      </w:r>
      <w:r>
        <w:rPr>
          <w:sz w:val="20"/>
          <w:szCs w:val="20"/>
        </w:rPr>
        <w:t>De ondertekeningsbevoegdheid van die personen moet worden gestaafd met een document dat uitgaat van een officiële bron (bv. publicatieblad) of moet het gevolg zijn van een interne bevoegdheidsdelegatie door een vertegenwoordiger die zelf over ondertekeningsbevoegdheid ter zake beschikt.</w:t>
      </w:r>
    </w:p>
  </w:footnote>
  <w:footnote w:id="2">
    <w:p w:rsidR="00643F2F" w:rsidRPr="0005621C" w:rsidRDefault="00643F2F" w:rsidP="0005621C">
      <w:pPr>
        <w:pStyle w:val="Default"/>
        <w:ind w:left="567" w:hanging="567"/>
        <w:rPr>
          <w:rFonts w:ascii="Times New Roman" w:hAnsi="Times New Roman" w:cs="Times New Roman"/>
          <w:color w:val="auto"/>
          <w:sz w:val="20"/>
          <w:szCs w:val="20"/>
          <w:lang w:val="nl-NL" w:eastAsia="fr-BE"/>
        </w:rPr>
      </w:pPr>
      <w:r>
        <w:rPr>
          <w:rStyle w:val="FootnoteReference"/>
        </w:rPr>
        <w:footnoteRef/>
      </w:r>
      <w:r w:rsidRPr="0005621C">
        <w:rPr>
          <w:lang w:val="nl-NL"/>
        </w:rPr>
        <w:t xml:space="preserve"> </w:t>
      </w:r>
      <w:r w:rsidRPr="0005621C">
        <w:rPr>
          <w:lang w:val="nl-NL"/>
        </w:rPr>
        <w:tab/>
      </w:r>
      <w:r w:rsidR="0005621C" w:rsidRPr="0005621C">
        <w:rPr>
          <w:rFonts w:ascii="Times New Roman" w:hAnsi="Times New Roman" w:cs="Times New Roman"/>
          <w:color w:val="auto"/>
          <w:sz w:val="20"/>
          <w:szCs w:val="20"/>
          <w:lang w:val="nl-NL" w:eastAsia="fr-BE"/>
        </w:rPr>
        <w:t>Verordening (EU, Euratom) nr 966/2012 van het Europees Parlement en de Raad van 25 oktober 2012 over de financiële regels van toepassing op de algemene begroting van de Unie en tot intrekking van Verordening (EG, Euratom) nr 1605/2002 van de Raad (PB L 298 van 26.10.2012, blz. 1), zoals gewijzigd bij Verordening (EU, Euratom) 2015/1929 van het Europees Parlement en de Raad van 28 oktober 2015 (PB L 286, 2015/10/30)</w:t>
      </w:r>
    </w:p>
  </w:footnote>
  <w:footnote w:id="3">
    <w:p w:rsidR="009A3535" w:rsidRPr="006D4147" w:rsidRDefault="009A3535" w:rsidP="003F2557">
      <w:pPr>
        <w:pStyle w:val="FootnoteText"/>
      </w:pPr>
      <w:r>
        <w:rPr>
          <w:rStyle w:val="FootnoteReference"/>
        </w:rPr>
        <w:footnoteRef/>
      </w:r>
      <w:r>
        <w:t xml:space="preserve"> </w:t>
      </w:r>
      <w:r>
        <w:tab/>
      </w:r>
      <w:r>
        <w:rPr>
          <w:sz w:val="20"/>
          <w:szCs w:val="20"/>
        </w:rPr>
        <w:t>Als een inhoudelijke onregelmatigheid wordt met name beschouwd elke bepaling die de vergelijking van de offertes in de weg staat of vervalst, die de verbintenis van de inschrijver om de opdracht onder de vastgestelde voorwaarden uit te voeren onvolledig of onzeker maakt, die zodanig geformuleerd is dat zij de behoorlijke uitvoering van de opdracht in het gedrang brengt of die een poging tot manipulatie of speculatie inhoudt.</w:t>
      </w:r>
    </w:p>
  </w:footnote>
  <w:footnote w:id="4">
    <w:p w:rsidR="009A3535" w:rsidRDefault="009A3535" w:rsidP="00990883">
      <w:pPr>
        <w:pStyle w:val="Footnote"/>
        <w:ind w:left="567" w:hanging="567"/>
      </w:pPr>
      <w:r w:rsidRPr="000C1589">
        <w:rPr>
          <w:rStyle w:val="FootnoteReference"/>
          <w:sz w:val="20"/>
          <w:szCs w:val="20"/>
        </w:rPr>
        <w:footnoteRef/>
      </w:r>
      <w:r w:rsidRPr="00262EA8">
        <w:rPr>
          <w:rStyle w:val="FootnoteReference"/>
          <w:sz w:val="20"/>
          <w:szCs w:val="20"/>
        </w:rPr>
        <w:t xml:space="preserve"> </w:t>
      </w:r>
      <w:r>
        <w:rPr>
          <w:sz w:val="20"/>
          <w:szCs w:val="20"/>
        </w:rPr>
        <w:tab/>
        <w:t>Hier de naam, de handelsnaam en het adres van de inschrijvende onderneming vermelden</w:t>
      </w:r>
    </w:p>
  </w:footnote>
  <w:footnote w:id="5">
    <w:p w:rsidR="009A3535" w:rsidRPr="006D4147" w:rsidRDefault="009A3535" w:rsidP="000C1589">
      <w:pPr>
        <w:pStyle w:val="Footer"/>
        <w:tabs>
          <w:tab w:val="left" w:pos="567"/>
        </w:tabs>
      </w:pPr>
      <w:r w:rsidRPr="000C1589">
        <w:rPr>
          <w:rStyle w:val="FootnoteReference"/>
          <w:sz w:val="20"/>
          <w:szCs w:val="20"/>
        </w:rPr>
        <w:footnoteRef/>
      </w:r>
      <w:r>
        <w:rPr>
          <w:sz w:val="20"/>
          <w:szCs w:val="20"/>
        </w:rPr>
        <w:tab/>
        <w:t>Deze tekst niet vertalen.</w:t>
      </w:r>
    </w:p>
  </w:footnote>
  <w:footnote w:id="6">
    <w:p w:rsidR="009A3535" w:rsidRPr="006D4147" w:rsidRDefault="009A3535" w:rsidP="00F16AF2">
      <w:pPr>
        <w:pStyle w:val="FootnoteText"/>
        <w:jc w:val="both"/>
      </w:pPr>
      <w:r w:rsidRPr="002B1119">
        <w:rPr>
          <w:rStyle w:val="FootnoteReference"/>
          <w:sz w:val="20"/>
          <w:szCs w:val="20"/>
        </w:rPr>
        <w:footnoteRef/>
      </w:r>
      <w:r>
        <w:rPr>
          <w:sz w:val="20"/>
          <w:szCs w:val="20"/>
        </w:rPr>
        <w:t xml:space="preserve"> </w:t>
      </w:r>
      <w:r>
        <w:rPr>
          <w:sz w:val="20"/>
          <w:szCs w:val="20"/>
        </w:rPr>
        <w:tab/>
        <w:t>Indien het platform Consilium Tendering wordt gebruikt, is dit platform het communicatiemiddel bij uitstek.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7F74"/>
    <w:multiLevelType w:val="hybridMultilevel"/>
    <w:tmpl w:val="F200A1A6"/>
    <w:lvl w:ilvl="0" w:tplc="080C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94F2F"/>
    <w:multiLevelType w:val="hybridMultilevel"/>
    <w:tmpl w:val="F2765DC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3">
    <w:nsid w:val="0D0F215F"/>
    <w:multiLevelType w:val="hybridMultilevel"/>
    <w:tmpl w:val="C50C05A4"/>
    <w:lvl w:ilvl="0" w:tplc="C73823EA">
      <w:start w:val="1"/>
      <w:numFmt w:val="decimal"/>
      <w:lvlText w:val="%1."/>
      <w:lvlJc w:val="left"/>
      <w:pPr>
        <w:ind w:left="720" w:hanging="360"/>
      </w:pPr>
      <w:rPr>
        <w:rFonts w:hint="default"/>
        <w:i w:val="0"/>
        <w:i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5432F8"/>
    <w:multiLevelType w:val="hybridMultilevel"/>
    <w:tmpl w:val="0054FB3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6">
    <w:nsid w:val="22D918D1"/>
    <w:multiLevelType w:val="multilevel"/>
    <w:tmpl w:val="C3C6F5BA"/>
    <w:lvl w:ilvl="0">
      <w:start w:val="1"/>
      <w:numFmt w:val="upperRoman"/>
      <w:pStyle w:val="Heading1"/>
      <w:lvlText w:val="%1."/>
      <w:lvlJc w:val="left"/>
      <w:pPr>
        <w:tabs>
          <w:tab w:val="num" w:pos="851"/>
        </w:tabs>
        <w:ind w:left="851" w:hanging="851"/>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none"/>
      <w:lvlText w:val=""/>
      <w:lvlJc w:val="left"/>
      <w:pPr>
        <w:tabs>
          <w:tab w:val="num" w:pos="36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7">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8">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2">
    <w:nsid w:val="42726108"/>
    <w:multiLevelType w:val="hybridMultilevel"/>
    <w:tmpl w:val="77B2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6E0A5D"/>
    <w:multiLevelType w:val="singleLevel"/>
    <w:tmpl w:val="9C807126"/>
    <w:lvl w:ilvl="0">
      <w:start w:val="1"/>
      <w:numFmt w:val="bullet"/>
      <w:pStyle w:val="Par-equal"/>
      <w:lvlText w:val=""/>
      <w:lvlJc w:val="left"/>
      <w:pPr>
        <w:tabs>
          <w:tab w:val="num" w:pos="567"/>
        </w:tabs>
        <w:ind w:left="567" w:hanging="567"/>
      </w:pPr>
      <w:rPr>
        <w:rFonts w:ascii="Symbol" w:hAnsi="Symbol" w:cs="Symbol" w:hint="default"/>
      </w:rPr>
    </w:lvl>
  </w:abstractNum>
  <w:abstractNum w:abstractNumId="14">
    <w:nsid w:val="546453F4"/>
    <w:multiLevelType w:val="hybridMultilevel"/>
    <w:tmpl w:val="21843312"/>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5E604336"/>
    <w:multiLevelType w:val="hybridMultilevel"/>
    <w:tmpl w:val="78B654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7">
    <w:nsid w:val="70DA1B72"/>
    <w:multiLevelType w:val="hybridMultilevel"/>
    <w:tmpl w:val="2AD8E796"/>
    <w:lvl w:ilvl="0" w:tplc="080C000B">
      <w:start w:val="1"/>
      <w:numFmt w:val="bullet"/>
      <w:lvlText w:val=""/>
      <w:lvlJc w:val="left"/>
      <w:pPr>
        <w:tabs>
          <w:tab w:val="num" w:pos="1004"/>
        </w:tabs>
        <w:ind w:left="1004" w:hanging="360"/>
      </w:pPr>
      <w:rPr>
        <w:rFonts w:ascii="Wingdings" w:hAnsi="Wingdings" w:cs="Wingdings" w:hint="default"/>
      </w:rPr>
    </w:lvl>
    <w:lvl w:ilvl="1" w:tplc="080C0003" w:tentative="1">
      <w:start w:val="1"/>
      <w:numFmt w:val="bullet"/>
      <w:lvlText w:val="o"/>
      <w:lvlJc w:val="left"/>
      <w:pPr>
        <w:tabs>
          <w:tab w:val="num" w:pos="1724"/>
        </w:tabs>
        <w:ind w:left="1724" w:hanging="360"/>
      </w:pPr>
      <w:rPr>
        <w:rFonts w:ascii="Courier New" w:hAnsi="Courier New" w:cs="Courier New" w:hint="default"/>
      </w:rPr>
    </w:lvl>
    <w:lvl w:ilvl="2" w:tplc="080C0005" w:tentative="1">
      <w:start w:val="1"/>
      <w:numFmt w:val="bullet"/>
      <w:lvlText w:val=""/>
      <w:lvlJc w:val="left"/>
      <w:pPr>
        <w:tabs>
          <w:tab w:val="num" w:pos="2444"/>
        </w:tabs>
        <w:ind w:left="2444" w:hanging="360"/>
      </w:pPr>
      <w:rPr>
        <w:rFonts w:ascii="Wingdings" w:hAnsi="Wingdings" w:cs="Wingdings" w:hint="default"/>
      </w:rPr>
    </w:lvl>
    <w:lvl w:ilvl="3" w:tplc="080C0001" w:tentative="1">
      <w:start w:val="1"/>
      <w:numFmt w:val="bullet"/>
      <w:lvlText w:val=""/>
      <w:lvlJc w:val="left"/>
      <w:pPr>
        <w:tabs>
          <w:tab w:val="num" w:pos="3164"/>
        </w:tabs>
        <w:ind w:left="3164" w:hanging="360"/>
      </w:pPr>
      <w:rPr>
        <w:rFonts w:ascii="Symbol" w:hAnsi="Symbol" w:cs="Symbol" w:hint="default"/>
      </w:rPr>
    </w:lvl>
    <w:lvl w:ilvl="4" w:tplc="080C0003" w:tentative="1">
      <w:start w:val="1"/>
      <w:numFmt w:val="bullet"/>
      <w:lvlText w:val="o"/>
      <w:lvlJc w:val="left"/>
      <w:pPr>
        <w:tabs>
          <w:tab w:val="num" w:pos="3884"/>
        </w:tabs>
        <w:ind w:left="3884" w:hanging="360"/>
      </w:pPr>
      <w:rPr>
        <w:rFonts w:ascii="Courier New" w:hAnsi="Courier New" w:cs="Courier New" w:hint="default"/>
      </w:rPr>
    </w:lvl>
    <w:lvl w:ilvl="5" w:tplc="080C0005" w:tentative="1">
      <w:start w:val="1"/>
      <w:numFmt w:val="bullet"/>
      <w:lvlText w:val=""/>
      <w:lvlJc w:val="left"/>
      <w:pPr>
        <w:tabs>
          <w:tab w:val="num" w:pos="4604"/>
        </w:tabs>
        <w:ind w:left="4604" w:hanging="360"/>
      </w:pPr>
      <w:rPr>
        <w:rFonts w:ascii="Wingdings" w:hAnsi="Wingdings" w:cs="Wingdings" w:hint="default"/>
      </w:rPr>
    </w:lvl>
    <w:lvl w:ilvl="6" w:tplc="080C0001" w:tentative="1">
      <w:start w:val="1"/>
      <w:numFmt w:val="bullet"/>
      <w:lvlText w:val=""/>
      <w:lvlJc w:val="left"/>
      <w:pPr>
        <w:tabs>
          <w:tab w:val="num" w:pos="5324"/>
        </w:tabs>
        <w:ind w:left="5324" w:hanging="360"/>
      </w:pPr>
      <w:rPr>
        <w:rFonts w:ascii="Symbol" w:hAnsi="Symbol" w:cs="Symbol" w:hint="default"/>
      </w:rPr>
    </w:lvl>
    <w:lvl w:ilvl="7" w:tplc="080C0003" w:tentative="1">
      <w:start w:val="1"/>
      <w:numFmt w:val="bullet"/>
      <w:lvlText w:val="o"/>
      <w:lvlJc w:val="left"/>
      <w:pPr>
        <w:tabs>
          <w:tab w:val="num" w:pos="6044"/>
        </w:tabs>
        <w:ind w:left="6044" w:hanging="360"/>
      </w:pPr>
      <w:rPr>
        <w:rFonts w:ascii="Courier New" w:hAnsi="Courier New" w:cs="Courier New" w:hint="default"/>
      </w:rPr>
    </w:lvl>
    <w:lvl w:ilvl="8" w:tplc="080C0005" w:tentative="1">
      <w:start w:val="1"/>
      <w:numFmt w:val="bullet"/>
      <w:lvlText w:val=""/>
      <w:lvlJc w:val="left"/>
      <w:pPr>
        <w:tabs>
          <w:tab w:val="num" w:pos="6764"/>
        </w:tabs>
        <w:ind w:left="6764" w:hanging="360"/>
      </w:pPr>
      <w:rPr>
        <w:rFonts w:ascii="Wingdings" w:hAnsi="Wingdings" w:cs="Wingdings" w:hint="default"/>
      </w:rPr>
    </w:lvl>
  </w:abstractNum>
  <w:abstractNum w:abstractNumId="18">
    <w:nsid w:val="739A324D"/>
    <w:multiLevelType w:val="hybridMultilevel"/>
    <w:tmpl w:val="EF1814DA"/>
    <w:lvl w:ilvl="0" w:tplc="080C000B">
      <w:start w:val="1"/>
      <w:numFmt w:val="bullet"/>
      <w:lvlText w:val=""/>
      <w:lvlJc w:val="left"/>
      <w:pPr>
        <w:tabs>
          <w:tab w:val="num" w:pos="1004"/>
        </w:tabs>
        <w:ind w:left="1004" w:hanging="360"/>
      </w:pPr>
      <w:rPr>
        <w:rFonts w:ascii="Wingdings" w:hAnsi="Wingdings" w:cs="Wingdings" w:hint="default"/>
      </w:rPr>
    </w:lvl>
    <w:lvl w:ilvl="1" w:tplc="080C0003" w:tentative="1">
      <w:start w:val="1"/>
      <w:numFmt w:val="bullet"/>
      <w:lvlText w:val="o"/>
      <w:lvlJc w:val="left"/>
      <w:pPr>
        <w:tabs>
          <w:tab w:val="num" w:pos="1724"/>
        </w:tabs>
        <w:ind w:left="1724" w:hanging="360"/>
      </w:pPr>
      <w:rPr>
        <w:rFonts w:ascii="Courier New" w:hAnsi="Courier New" w:cs="Courier New" w:hint="default"/>
      </w:rPr>
    </w:lvl>
    <w:lvl w:ilvl="2" w:tplc="080C0005" w:tentative="1">
      <w:start w:val="1"/>
      <w:numFmt w:val="bullet"/>
      <w:lvlText w:val=""/>
      <w:lvlJc w:val="left"/>
      <w:pPr>
        <w:tabs>
          <w:tab w:val="num" w:pos="2444"/>
        </w:tabs>
        <w:ind w:left="2444" w:hanging="360"/>
      </w:pPr>
      <w:rPr>
        <w:rFonts w:ascii="Wingdings" w:hAnsi="Wingdings" w:cs="Wingdings" w:hint="default"/>
      </w:rPr>
    </w:lvl>
    <w:lvl w:ilvl="3" w:tplc="080C0001" w:tentative="1">
      <w:start w:val="1"/>
      <w:numFmt w:val="bullet"/>
      <w:lvlText w:val=""/>
      <w:lvlJc w:val="left"/>
      <w:pPr>
        <w:tabs>
          <w:tab w:val="num" w:pos="3164"/>
        </w:tabs>
        <w:ind w:left="3164" w:hanging="360"/>
      </w:pPr>
      <w:rPr>
        <w:rFonts w:ascii="Symbol" w:hAnsi="Symbol" w:cs="Symbol" w:hint="default"/>
      </w:rPr>
    </w:lvl>
    <w:lvl w:ilvl="4" w:tplc="080C0003" w:tentative="1">
      <w:start w:val="1"/>
      <w:numFmt w:val="bullet"/>
      <w:lvlText w:val="o"/>
      <w:lvlJc w:val="left"/>
      <w:pPr>
        <w:tabs>
          <w:tab w:val="num" w:pos="3884"/>
        </w:tabs>
        <w:ind w:left="3884" w:hanging="360"/>
      </w:pPr>
      <w:rPr>
        <w:rFonts w:ascii="Courier New" w:hAnsi="Courier New" w:cs="Courier New" w:hint="default"/>
      </w:rPr>
    </w:lvl>
    <w:lvl w:ilvl="5" w:tplc="080C0005" w:tentative="1">
      <w:start w:val="1"/>
      <w:numFmt w:val="bullet"/>
      <w:lvlText w:val=""/>
      <w:lvlJc w:val="left"/>
      <w:pPr>
        <w:tabs>
          <w:tab w:val="num" w:pos="4604"/>
        </w:tabs>
        <w:ind w:left="4604" w:hanging="360"/>
      </w:pPr>
      <w:rPr>
        <w:rFonts w:ascii="Wingdings" w:hAnsi="Wingdings" w:cs="Wingdings" w:hint="default"/>
      </w:rPr>
    </w:lvl>
    <w:lvl w:ilvl="6" w:tplc="080C0001" w:tentative="1">
      <w:start w:val="1"/>
      <w:numFmt w:val="bullet"/>
      <w:lvlText w:val=""/>
      <w:lvlJc w:val="left"/>
      <w:pPr>
        <w:tabs>
          <w:tab w:val="num" w:pos="5324"/>
        </w:tabs>
        <w:ind w:left="5324" w:hanging="360"/>
      </w:pPr>
      <w:rPr>
        <w:rFonts w:ascii="Symbol" w:hAnsi="Symbol" w:cs="Symbol" w:hint="default"/>
      </w:rPr>
    </w:lvl>
    <w:lvl w:ilvl="7" w:tplc="080C0003" w:tentative="1">
      <w:start w:val="1"/>
      <w:numFmt w:val="bullet"/>
      <w:lvlText w:val="o"/>
      <w:lvlJc w:val="left"/>
      <w:pPr>
        <w:tabs>
          <w:tab w:val="num" w:pos="6044"/>
        </w:tabs>
        <w:ind w:left="6044" w:hanging="360"/>
      </w:pPr>
      <w:rPr>
        <w:rFonts w:ascii="Courier New" w:hAnsi="Courier New" w:cs="Courier New" w:hint="default"/>
      </w:rPr>
    </w:lvl>
    <w:lvl w:ilvl="8" w:tplc="080C0005" w:tentative="1">
      <w:start w:val="1"/>
      <w:numFmt w:val="bullet"/>
      <w:lvlText w:val=""/>
      <w:lvlJc w:val="left"/>
      <w:pPr>
        <w:tabs>
          <w:tab w:val="num" w:pos="6764"/>
        </w:tabs>
        <w:ind w:left="6764" w:hanging="360"/>
      </w:pPr>
      <w:rPr>
        <w:rFonts w:ascii="Wingdings" w:hAnsi="Wingdings" w:cs="Wingdings" w:hint="default"/>
      </w:rPr>
    </w:lvl>
  </w:abstractNum>
  <w:abstractNum w:abstractNumId="19">
    <w:nsid w:val="79FA34D6"/>
    <w:multiLevelType w:val="singleLevel"/>
    <w:tmpl w:val="41326E50"/>
    <w:lvl w:ilvl="0">
      <w:start w:val="1"/>
      <w:numFmt w:val="bullet"/>
      <w:pStyle w:val="Par-bullet"/>
      <w:lvlText w:val=""/>
      <w:lvlJc w:val="left"/>
      <w:pPr>
        <w:tabs>
          <w:tab w:val="num" w:pos="567"/>
        </w:tabs>
        <w:ind w:left="567" w:hanging="567"/>
      </w:pPr>
      <w:rPr>
        <w:rFonts w:ascii="Symbol" w:hAnsi="Symbol" w:cs="Symbol" w:hint="default"/>
      </w:rPr>
    </w:lvl>
  </w:abstractNum>
  <w:num w:numId="1">
    <w:abstractNumId w:val="8"/>
  </w:num>
  <w:num w:numId="2">
    <w:abstractNumId w:val="10"/>
  </w:num>
  <w:num w:numId="3">
    <w:abstractNumId w:val="19"/>
  </w:num>
  <w:num w:numId="4">
    <w:abstractNumId w:val="5"/>
  </w:num>
  <w:num w:numId="5">
    <w:abstractNumId w:val="13"/>
  </w:num>
  <w:num w:numId="6">
    <w:abstractNumId w:val="9"/>
  </w:num>
  <w:num w:numId="7">
    <w:abstractNumId w:val="11"/>
  </w:num>
  <w:num w:numId="8">
    <w:abstractNumId w:val="16"/>
  </w:num>
  <w:num w:numId="9">
    <w:abstractNumId w:val="7"/>
  </w:num>
  <w:num w:numId="10">
    <w:abstractNumId w:val="2"/>
  </w:num>
  <w:num w:numId="11">
    <w:abstractNumId w:val="6"/>
  </w:num>
  <w:num w:numId="12">
    <w:abstractNumId w:val="17"/>
  </w:num>
  <w:num w:numId="13">
    <w:abstractNumId w:val="18"/>
  </w:num>
  <w:num w:numId="14">
    <w:abstractNumId w:val="6"/>
  </w:num>
  <w:num w:numId="15">
    <w:abstractNumId w:val="0"/>
  </w:num>
  <w:num w:numId="16">
    <w:abstractNumId w:val="12"/>
  </w:num>
  <w:num w:numId="17">
    <w:abstractNumId w:val="3"/>
  </w:num>
  <w:num w:numId="18">
    <w:abstractNumId w:val="4"/>
  </w:num>
  <w:num w:numId="19">
    <w:abstractNumId w:val="1"/>
  </w:num>
  <w:num w:numId="20">
    <w:abstractNumId w:val="14"/>
  </w:num>
  <w:num w:numId="21">
    <w:abstractNumId w:val="6"/>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Num" w:val="0"/>
    <w:docVar w:name="LW_DocType" w:val="_GENEN"/>
  </w:docVars>
  <w:rsids>
    <w:rsidRoot w:val="0081789E"/>
    <w:rsid w:val="00001502"/>
    <w:rsid w:val="00030AEE"/>
    <w:rsid w:val="0004065C"/>
    <w:rsid w:val="000444A5"/>
    <w:rsid w:val="000449B4"/>
    <w:rsid w:val="00046CCB"/>
    <w:rsid w:val="0005086A"/>
    <w:rsid w:val="00054C4B"/>
    <w:rsid w:val="0005621C"/>
    <w:rsid w:val="000676B5"/>
    <w:rsid w:val="00067F31"/>
    <w:rsid w:val="00072241"/>
    <w:rsid w:val="00075910"/>
    <w:rsid w:val="00083FBC"/>
    <w:rsid w:val="000867FF"/>
    <w:rsid w:val="0009569C"/>
    <w:rsid w:val="00095E20"/>
    <w:rsid w:val="000A36CD"/>
    <w:rsid w:val="000A3826"/>
    <w:rsid w:val="000A4019"/>
    <w:rsid w:val="000C1589"/>
    <w:rsid w:val="000C45ED"/>
    <w:rsid w:val="000D1B01"/>
    <w:rsid w:val="000D2B33"/>
    <w:rsid w:val="000E1C75"/>
    <w:rsid w:val="000E63CE"/>
    <w:rsid w:val="000F73E5"/>
    <w:rsid w:val="001124D9"/>
    <w:rsid w:val="00114B65"/>
    <w:rsid w:val="001204E0"/>
    <w:rsid w:val="0012665C"/>
    <w:rsid w:val="0014406C"/>
    <w:rsid w:val="00145345"/>
    <w:rsid w:val="00150DD0"/>
    <w:rsid w:val="0016149D"/>
    <w:rsid w:val="00164E11"/>
    <w:rsid w:val="00171F08"/>
    <w:rsid w:val="0017477F"/>
    <w:rsid w:val="00174E40"/>
    <w:rsid w:val="001858D3"/>
    <w:rsid w:val="00185EC7"/>
    <w:rsid w:val="001A76B5"/>
    <w:rsid w:val="001D09CB"/>
    <w:rsid w:val="001D16E3"/>
    <w:rsid w:val="001D60D8"/>
    <w:rsid w:val="001F59C5"/>
    <w:rsid w:val="001F7964"/>
    <w:rsid w:val="00200130"/>
    <w:rsid w:val="002010D3"/>
    <w:rsid w:val="0020127F"/>
    <w:rsid w:val="00204F63"/>
    <w:rsid w:val="0021328B"/>
    <w:rsid w:val="00215D7C"/>
    <w:rsid w:val="00220AE0"/>
    <w:rsid w:val="0022170F"/>
    <w:rsid w:val="00234D95"/>
    <w:rsid w:val="002408BF"/>
    <w:rsid w:val="0024283F"/>
    <w:rsid w:val="00251521"/>
    <w:rsid w:val="0025703C"/>
    <w:rsid w:val="00262EA8"/>
    <w:rsid w:val="002704D2"/>
    <w:rsid w:val="0027198A"/>
    <w:rsid w:val="0027229D"/>
    <w:rsid w:val="0027654E"/>
    <w:rsid w:val="00276F2F"/>
    <w:rsid w:val="0028325B"/>
    <w:rsid w:val="002A000E"/>
    <w:rsid w:val="002A1E21"/>
    <w:rsid w:val="002B0E9D"/>
    <w:rsid w:val="002B1119"/>
    <w:rsid w:val="002B28C5"/>
    <w:rsid w:val="002C2564"/>
    <w:rsid w:val="002C41AB"/>
    <w:rsid w:val="002D0849"/>
    <w:rsid w:val="002D1EFE"/>
    <w:rsid w:val="002D5B64"/>
    <w:rsid w:val="002E3856"/>
    <w:rsid w:val="002E46F1"/>
    <w:rsid w:val="002F1116"/>
    <w:rsid w:val="00304DEB"/>
    <w:rsid w:val="003218E6"/>
    <w:rsid w:val="00323DF1"/>
    <w:rsid w:val="00326A36"/>
    <w:rsid w:val="003317EC"/>
    <w:rsid w:val="00335A55"/>
    <w:rsid w:val="00335BD1"/>
    <w:rsid w:val="00341EA2"/>
    <w:rsid w:val="00360EA6"/>
    <w:rsid w:val="00365A1E"/>
    <w:rsid w:val="00367308"/>
    <w:rsid w:val="003712B1"/>
    <w:rsid w:val="003720ED"/>
    <w:rsid w:val="00376FF1"/>
    <w:rsid w:val="003812B9"/>
    <w:rsid w:val="0039090B"/>
    <w:rsid w:val="00391911"/>
    <w:rsid w:val="003929BE"/>
    <w:rsid w:val="003B4BBB"/>
    <w:rsid w:val="003B4CA1"/>
    <w:rsid w:val="003D12D6"/>
    <w:rsid w:val="003D1CCC"/>
    <w:rsid w:val="003D5361"/>
    <w:rsid w:val="003F010B"/>
    <w:rsid w:val="003F2557"/>
    <w:rsid w:val="003F4953"/>
    <w:rsid w:val="003F7522"/>
    <w:rsid w:val="00406BA7"/>
    <w:rsid w:val="00410588"/>
    <w:rsid w:val="00412B5F"/>
    <w:rsid w:val="00415FC2"/>
    <w:rsid w:val="00423A04"/>
    <w:rsid w:val="00423C60"/>
    <w:rsid w:val="00424B5F"/>
    <w:rsid w:val="00440DEF"/>
    <w:rsid w:val="00445F2C"/>
    <w:rsid w:val="00446EA1"/>
    <w:rsid w:val="00453820"/>
    <w:rsid w:val="004600B9"/>
    <w:rsid w:val="00462CBB"/>
    <w:rsid w:val="004656E1"/>
    <w:rsid w:val="00465B83"/>
    <w:rsid w:val="00490932"/>
    <w:rsid w:val="00491684"/>
    <w:rsid w:val="00491ACF"/>
    <w:rsid w:val="004A1132"/>
    <w:rsid w:val="004D202F"/>
    <w:rsid w:val="004E09B5"/>
    <w:rsid w:val="004E1EF2"/>
    <w:rsid w:val="004E30A8"/>
    <w:rsid w:val="004E3925"/>
    <w:rsid w:val="004F1F3A"/>
    <w:rsid w:val="005115B2"/>
    <w:rsid w:val="005176C6"/>
    <w:rsid w:val="00517AFA"/>
    <w:rsid w:val="00524C7D"/>
    <w:rsid w:val="005255AC"/>
    <w:rsid w:val="0053148A"/>
    <w:rsid w:val="00556426"/>
    <w:rsid w:val="00573235"/>
    <w:rsid w:val="00587932"/>
    <w:rsid w:val="00591446"/>
    <w:rsid w:val="005C07A4"/>
    <w:rsid w:val="005C1DE3"/>
    <w:rsid w:val="005C6F04"/>
    <w:rsid w:val="005D11D1"/>
    <w:rsid w:val="005D3C88"/>
    <w:rsid w:val="005F45C3"/>
    <w:rsid w:val="005F793E"/>
    <w:rsid w:val="00600ED6"/>
    <w:rsid w:val="0060219F"/>
    <w:rsid w:val="00604699"/>
    <w:rsid w:val="00615C14"/>
    <w:rsid w:val="006164E1"/>
    <w:rsid w:val="00624C6D"/>
    <w:rsid w:val="00643F2F"/>
    <w:rsid w:val="006609FB"/>
    <w:rsid w:val="00681EB1"/>
    <w:rsid w:val="0069311C"/>
    <w:rsid w:val="006937B9"/>
    <w:rsid w:val="006A0D97"/>
    <w:rsid w:val="006A6005"/>
    <w:rsid w:val="006B3251"/>
    <w:rsid w:val="006B3FE1"/>
    <w:rsid w:val="006B5F1B"/>
    <w:rsid w:val="006C16E0"/>
    <w:rsid w:val="006C6C26"/>
    <w:rsid w:val="006D2C19"/>
    <w:rsid w:val="006D4147"/>
    <w:rsid w:val="006D45A0"/>
    <w:rsid w:val="006E3B34"/>
    <w:rsid w:val="006E5355"/>
    <w:rsid w:val="006F22F6"/>
    <w:rsid w:val="006F3B2A"/>
    <w:rsid w:val="006F3E3F"/>
    <w:rsid w:val="006F5F76"/>
    <w:rsid w:val="006F74CE"/>
    <w:rsid w:val="006F798D"/>
    <w:rsid w:val="007355A0"/>
    <w:rsid w:val="00735A02"/>
    <w:rsid w:val="007437F5"/>
    <w:rsid w:val="00754CB7"/>
    <w:rsid w:val="00762066"/>
    <w:rsid w:val="007651B0"/>
    <w:rsid w:val="007654CE"/>
    <w:rsid w:val="0076794C"/>
    <w:rsid w:val="0077461C"/>
    <w:rsid w:val="00781A63"/>
    <w:rsid w:val="007838EE"/>
    <w:rsid w:val="0078495E"/>
    <w:rsid w:val="00793DB4"/>
    <w:rsid w:val="00797992"/>
    <w:rsid w:val="007A5328"/>
    <w:rsid w:val="007B0D74"/>
    <w:rsid w:val="007B2F6C"/>
    <w:rsid w:val="007B6E58"/>
    <w:rsid w:val="007C794C"/>
    <w:rsid w:val="007D0248"/>
    <w:rsid w:val="007D2A4C"/>
    <w:rsid w:val="007D3B35"/>
    <w:rsid w:val="007F38E2"/>
    <w:rsid w:val="00800CB6"/>
    <w:rsid w:val="00814EA5"/>
    <w:rsid w:val="00815D83"/>
    <w:rsid w:val="0081789E"/>
    <w:rsid w:val="00820D9C"/>
    <w:rsid w:val="00820FF2"/>
    <w:rsid w:val="00823D67"/>
    <w:rsid w:val="008258F2"/>
    <w:rsid w:val="00825EAF"/>
    <w:rsid w:val="0083043C"/>
    <w:rsid w:val="0083727F"/>
    <w:rsid w:val="00845EE9"/>
    <w:rsid w:val="00853B46"/>
    <w:rsid w:val="008624F1"/>
    <w:rsid w:val="0088319A"/>
    <w:rsid w:val="00887596"/>
    <w:rsid w:val="00891973"/>
    <w:rsid w:val="008928F3"/>
    <w:rsid w:val="00893D2B"/>
    <w:rsid w:val="008A1848"/>
    <w:rsid w:val="008B3E59"/>
    <w:rsid w:val="008D04D2"/>
    <w:rsid w:val="008D3B70"/>
    <w:rsid w:val="008D3F5F"/>
    <w:rsid w:val="008E6CE1"/>
    <w:rsid w:val="008F0F94"/>
    <w:rsid w:val="00902D9F"/>
    <w:rsid w:val="00907A87"/>
    <w:rsid w:val="009135EF"/>
    <w:rsid w:val="00914917"/>
    <w:rsid w:val="009226E8"/>
    <w:rsid w:val="00922ABD"/>
    <w:rsid w:val="00934F42"/>
    <w:rsid w:val="00950B14"/>
    <w:rsid w:val="00953E8A"/>
    <w:rsid w:val="009540D0"/>
    <w:rsid w:val="00960CF9"/>
    <w:rsid w:val="009700CD"/>
    <w:rsid w:val="009725D6"/>
    <w:rsid w:val="009846A3"/>
    <w:rsid w:val="00990883"/>
    <w:rsid w:val="00995506"/>
    <w:rsid w:val="009A1D2C"/>
    <w:rsid w:val="009A3535"/>
    <w:rsid w:val="009A39FE"/>
    <w:rsid w:val="009A51B3"/>
    <w:rsid w:val="009C026B"/>
    <w:rsid w:val="009D15C2"/>
    <w:rsid w:val="009D210D"/>
    <w:rsid w:val="009E3045"/>
    <w:rsid w:val="009E7878"/>
    <w:rsid w:val="009F0FE5"/>
    <w:rsid w:val="00A142EE"/>
    <w:rsid w:val="00A2085D"/>
    <w:rsid w:val="00A3456F"/>
    <w:rsid w:val="00A53302"/>
    <w:rsid w:val="00A55EB4"/>
    <w:rsid w:val="00A56CF2"/>
    <w:rsid w:val="00A83A74"/>
    <w:rsid w:val="00A8452C"/>
    <w:rsid w:val="00A87A94"/>
    <w:rsid w:val="00A9225C"/>
    <w:rsid w:val="00A9613B"/>
    <w:rsid w:val="00A97B39"/>
    <w:rsid w:val="00AB3F07"/>
    <w:rsid w:val="00AB6290"/>
    <w:rsid w:val="00AD020C"/>
    <w:rsid w:val="00AE3352"/>
    <w:rsid w:val="00AE6D64"/>
    <w:rsid w:val="00B067CB"/>
    <w:rsid w:val="00B104EA"/>
    <w:rsid w:val="00B2678C"/>
    <w:rsid w:val="00B32133"/>
    <w:rsid w:val="00B337F3"/>
    <w:rsid w:val="00B34DE4"/>
    <w:rsid w:val="00B40E1C"/>
    <w:rsid w:val="00B55A5E"/>
    <w:rsid w:val="00B8351B"/>
    <w:rsid w:val="00B8429A"/>
    <w:rsid w:val="00B845E7"/>
    <w:rsid w:val="00B9096D"/>
    <w:rsid w:val="00B9531D"/>
    <w:rsid w:val="00B97461"/>
    <w:rsid w:val="00BC1D56"/>
    <w:rsid w:val="00BC3FE8"/>
    <w:rsid w:val="00BD0CE2"/>
    <w:rsid w:val="00BD79B3"/>
    <w:rsid w:val="00BE0095"/>
    <w:rsid w:val="00BE0D86"/>
    <w:rsid w:val="00BE7C2A"/>
    <w:rsid w:val="00BF1051"/>
    <w:rsid w:val="00BF70F6"/>
    <w:rsid w:val="00C12CA2"/>
    <w:rsid w:val="00C132D1"/>
    <w:rsid w:val="00C22400"/>
    <w:rsid w:val="00C24A87"/>
    <w:rsid w:val="00C378E8"/>
    <w:rsid w:val="00C37E59"/>
    <w:rsid w:val="00C426D0"/>
    <w:rsid w:val="00C4415B"/>
    <w:rsid w:val="00C461CC"/>
    <w:rsid w:val="00C502FD"/>
    <w:rsid w:val="00C548E9"/>
    <w:rsid w:val="00C55246"/>
    <w:rsid w:val="00C655FB"/>
    <w:rsid w:val="00C82663"/>
    <w:rsid w:val="00C83670"/>
    <w:rsid w:val="00C9449D"/>
    <w:rsid w:val="00CA4EF7"/>
    <w:rsid w:val="00CA68EF"/>
    <w:rsid w:val="00CB47E6"/>
    <w:rsid w:val="00CB519C"/>
    <w:rsid w:val="00CC03B9"/>
    <w:rsid w:val="00CC5050"/>
    <w:rsid w:val="00CD35C2"/>
    <w:rsid w:val="00CD3ED8"/>
    <w:rsid w:val="00CE1387"/>
    <w:rsid w:val="00CE1828"/>
    <w:rsid w:val="00CE51DE"/>
    <w:rsid w:val="00CF0A6A"/>
    <w:rsid w:val="00CF2519"/>
    <w:rsid w:val="00CF309C"/>
    <w:rsid w:val="00CF7ABE"/>
    <w:rsid w:val="00D0103E"/>
    <w:rsid w:val="00D040EA"/>
    <w:rsid w:val="00D04A5A"/>
    <w:rsid w:val="00D125DB"/>
    <w:rsid w:val="00D25D34"/>
    <w:rsid w:val="00D27AB9"/>
    <w:rsid w:val="00D31A71"/>
    <w:rsid w:val="00D34375"/>
    <w:rsid w:val="00D37629"/>
    <w:rsid w:val="00D40257"/>
    <w:rsid w:val="00D4336B"/>
    <w:rsid w:val="00D5388E"/>
    <w:rsid w:val="00D565A6"/>
    <w:rsid w:val="00D605D1"/>
    <w:rsid w:val="00D73A63"/>
    <w:rsid w:val="00D852EB"/>
    <w:rsid w:val="00D921AA"/>
    <w:rsid w:val="00D94928"/>
    <w:rsid w:val="00D954D7"/>
    <w:rsid w:val="00D96E50"/>
    <w:rsid w:val="00D97143"/>
    <w:rsid w:val="00DA36BB"/>
    <w:rsid w:val="00DA3F14"/>
    <w:rsid w:val="00DA5A7B"/>
    <w:rsid w:val="00DC015F"/>
    <w:rsid w:val="00DC0246"/>
    <w:rsid w:val="00DC21B7"/>
    <w:rsid w:val="00DC2A3E"/>
    <w:rsid w:val="00DC30D7"/>
    <w:rsid w:val="00DD1675"/>
    <w:rsid w:val="00DD54E0"/>
    <w:rsid w:val="00DE05AC"/>
    <w:rsid w:val="00DE1D55"/>
    <w:rsid w:val="00DE42A7"/>
    <w:rsid w:val="00DF0FB4"/>
    <w:rsid w:val="00E013EA"/>
    <w:rsid w:val="00E30990"/>
    <w:rsid w:val="00E3630E"/>
    <w:rsid w:val="00E45613"/>
    <w:rsid w:val="00E50627"/>
    <w:rsid w:val="00E5556D"/>
    <w:rsid w:val="00E56089"/>
    <w:rsid w:val="00E564B4"/>
    <w:rsid w:val="00E579C3"/>
    <w:rsid w:val="00E7395D"/>
    <w:rsid w:val="00E862FD"/>
    <w:rsid w:val="00EB0D67"/>
    <w:rsid w:val="00EC2111"/>
    <w:rsid w:val="00EC21E9"/>
    <w:rsid w:val="00ED5D9E"/>
    <w:rsid w:val="00ED7991"/>
    <w:rsid w:val="00EE00BA"/>
    <w:rsid w:val="00EE6E72"/>
    <w:rsid w:val="00EE706A"/>
    <w:rsid w:val="00EF2163"/>
    <w:rsid w:val="00EF454D"/>
    <w:rsid w:val="00EF6D7A"/>
    <w:rsid w:val="00F030A6"/>
    <w:rsid w:val="00F06D12"/>
    <w:rsid w:val="00F16718"/>
    <w:rsid w:val="00F16AF2"/>
    <w:rsid w:val="00F20DE9"/>
    <w:rsid w:val="00F24E32"/>
    <w:rsid w:val="00F37D1B"/>
    <w:rsid w:val="00F42ECF"/>
    <w:rsid w:val="00F44E97"/>
    <w:rsid w:val="00F454EB"/>
    <w:rsid w:val="00F64303"/>
    <w:rsid w:val="00F658DD"/>
    <w:rsid w:val="00F75257"/>
    <w:rsid w:val="00F81BD7"/>
    <w:rsid w:val="00F83031"/>
    <w:rsid w:val="00FA264E"/>
    <w:rsid w:val="00FA44F0"/>
    <w:rsid w:val="00FC4BFA"/>
    <w:rsid w:val="00FE244D"/>
    <w:rsid w:val="00FE5C5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szCs w:val="24"/>
    </w:rPr>
  </w:style>
  <w:style w:type="paragraph" w:styleId="Heading1">
    <w:name w:val="heading 1"/>
    <w:basedOn w:val="Normal"/>
    <w:next w:val="Normal"/>
    <w:qFormat/>
    <w:rsid w:val="004600B9"/>
    <w:pPr>
      <w:keepNext/>
      <w:widowControl/>
      <w:numPr>
        <w:numId w:val="14"/>
      </w:numPr>
      <w:tabs>
        <w:tab w:val="left" w:pos="567"/>
      </w:tabs>
      <w:spacing w:before="360" w:after="120" w:line="240" w:lineRule="auto"/>
      <w:jc w:val="both"/>
      <w:outlineLvl w:val="0"/>
    </w:pPr>
    <w:rPr>
      <w:b/>
      <w:bCs/>
      <w:smallCaps/>
    </w:rPr>
  </w:style>
  <w:style w:type="paragraph" w:styleId="Heading2">
    <w:name w:val="heading 2"/>
    <w:basedOn w:val="Normal"/>
    <w:next w:val="Normal"/>
    <w:link w:val="Heading2Char"/>
    <w:qFormat/>
    <w:rsid w:val="004600B9"/>
    <w:pPr>
      <w:keepNext/>
      <w:widowControl/>
      <w:numPr>
        <w:ilvl w:val="1"/>
        <w:numId w:val="14"/>
      </w:numPr>
      <w:spacing w:before="120" w:after="120" w:line="240" w:lineRule="auto"/>
      <w:jc w:val="both"/>
      <w:outlineLvl w:val="1"/>
    </w:pPr>
    <w:rPr>
      <w:b/>
      <w:bCs/>
    </w:rPr>
  </w:style>
  <w:style w:type="paragraph" w:styleId="Heading3">
    <w:name w:val="heading 3"/>
    <w:basedOn w:val="Normal"/>
    <w:next w:val="Normal"/>
    <w:qFormat/>
    <w:rsid w:val="004600B9"/>
    <w:pPr>
      <w:keepNext/>
      <w:widowControl/>
      <w:numPr>
        <w:ilvl w:val="2"/>
        <w:numId w:val="14"/>
      </w:numPr>
      <w:spacing w:before="120" w:after="120" w:line="240" w:lineRule="auto"/>
      <w:jc w:val="both"/>
      <w:outlineLvl w:val="2"/>
    </w:pPr>
    <w:rPr>
      <w:i/>
      <w:iCs/>
    </w:rPr>
  </w:style>
  <w:style w:type="paragraph" w:styleId="Heading4">
    <w:name w:val="heading 4"/>
    <w:basedOn w:val="Normal"/>
    <w:next w:val="Normal"/>
    <w:qFormat/>
    <w:rsid w:val="004600B9"/>
    <w:pPr>
      <w:keepNext/>
      <w:widowControl/>
      <w:numPr>
        <w:ilvl w:val="3"/>
        <w:numId w:val="14"/>
      </w:numPr>
      <w:tabs>
        <w:tab w:val="left" w:pos="567"/>
      </w:tabs>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cs="Arial"/>
      <w:sz w:val="22"/>
      <w:szCs w:val="22"/>
    </w:rPr>
  </w:style>
  <w:style w:type="paragraph" w:styleId="Heading6">
    <w:name w:val="heading 6"/>
    <w:basedOn w:val="Normal"/>
    <w:next w:val="Normal"/>
    <w:qFormat/>
    <w:pPr>
      <w:widowControl/>
      <w:spacing w:before="240" w:after="60" w:line="240" w:lineRule="auto"/>
      <w:jc w:val="both"/>
      <w:outlineLvl w:val="5"/>
    </w:pPr>
    <w:rPr>
      <w:rFonts w:ascii="Arial" w:hAnsi="Arial" w:cs="Arial"/>
      <w:i/>
      <w:iCs/>
      <w:sz w:val="22"/>
      <w:szCs w:val="22"/>
    </w:rPr>
  </w:style>
  <w:style w:type="paragraph" w:styleId="Heading7">
    <w:name w:val="heading 7"/>
    <w:basedOn w:val="Normal"/>
    <w:next w:val="Normal"/>
    <w:qFormat/>
    <w:pPr>
      <w:widowControl/>
      <w:spacing w:before="240" w:after="60" w:line="240" w:lineRule="auto"/>
      <w:jc w:val="both"/>
      <w:outlineLvl w:val="6"/>
    </w:pPr>
    <w:rPr>
      <w:rFonts w:ascii="Arial" w:hAnsi="Arial" w:cs="Arial"/>
      <w:sz w:val="20"/>
      <w:szCs w:val="20"/>
    </w:rPr>
  </w:style>
  <w:style w:type="paragraph" w:styleId="Heading8">
    <w:name w:val="heading 8"/>
    <w:basedOn w:val="Normal"/>
    <w:next w:val="Normal"/>
    <w:qFormat/>
    <w:pPr>
      <w:widowControl/>
      <w:spacing w:before="240" w:after="60" w:line="240" w:lineRule="auto"/>
      <w:jc w:val="both"/>
      <w:outlineLvl w:val="7"/>
    </w:pPr>
    <w:rPr>
      <w:rFonts w:ascii="Arial" w:hAnsi="Arial" w:cs="Arial"/>
      <w:i/>
      <w:iCs/>
      <w:sz w:val="20"/>
      <w:szCs w:val="20"/>
    </w:rPr>
  </w:style>
  <w:style w:type="paragraph" w:styleId="Heading9">
    <w:name w:val="heading 9"/>
    <w:basedOn w:val="Normal"/>
    <w:next w:val="Normal"/>
    <w:qFormat/>
    <w:pPr>
      <w:widowControl/>
      <w:spacing w:before="240" w:after="60" w:line="240" w:lineRule="auto"/>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bCs/>
    </w:rPr>
  </w:style>
  <w:style w:type="paragraph" w:customStyle="1" w:styleId="EntRefer">
    <w:name w:val="EntRefer"/>
    <w:basedOn w:val="Normal"/>
    <w:pPr>
      <w:spacing w:line="240" w:lineRule="auto"/>
    </w:pPr>
    <w:rPr>
      <w:b/>
      <w:bCs/>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semiHidden/>
    <w:rPr>
      <w:b/>
      <w:bCs/>
      <w:vertAlign w:val="superscript"/>
    </w:rPr>
  </w:style>
  <w:style w:type="paragraph" w:styleId="FootnoteText">
    <w:name w:val="footnote text"/>
    <w:basedOn w:val="Normal"/>
    <w:semiHidden/>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bCs/>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semiHidden/>
    <w:pPr>
      <w:tabs>
        <w:tab w:val="left" w:pos="2835"/>
        <w:tab w:val="right" w:leader="dot" w:pos="9639"/>
      </w:tabs>
      <w:ind w:left="2835" w:right="567" w:hanging="567"/>
    </w:pPr>
  </w:style>
  <w:style w:type="paragraph" w:styleId="TOC6">
    <w:name w:val="toc 6"/>
    <w:basedOn w:val="Normal"/>
    <w:next w:val="Normal"/>
    <w:semiHidden/>
    <w:pPr>
      <w:tabs>
        <w:tab w:val="left" w:pos="3402"/>
        <w:tab w:val="right" w:leader="dot" w:pos="9639"/>
      </w:tabs>
      <w:ind w:left="3402" w:right="567" w:hanging="567"/>
    </w:pPr>
  </w:style>
  <w:style w:type="paragraph" w:styleId="TOC7">
    <w:name w:val="toc 7"/>
    <w:basedOn w:val="Normal"/>
    <w:next w:val="Normal"/>
    <w:semiHidden/>
    <w:pPr>
      <w:tabs>
        <w:tab w:val="left" w:pos="3969"/>
        <w:tab w:val="right" w:leader="dot" w:pos="9639"/>
      </w:tabs>
      <w:ind w:left="3969" w:right="567" w:hanging="567"/>
    </w:pPr>
  </w:style>
  <w:style w:type="paragraph" w:styleId="TOC8">
    <w:name w:val="toc 8"/>
    <w:basedOn w:val="Normal"/>
    <w:next w:val="Normal"/>
    <w:semiHidden/>
    <w:pPr>
      <w:tabs>
        <w:tab w:val="left" w:pos="4536"/>
        <w:tab w:val="right" w:leader="dot" w:pos="9639"/>
      </w:tabs>
      <w:ind w:left="4536" w:right="567" w:hanging="567"/>
    </w:pPr>
  </w:style>
  <w:style w:type="paragraph" w:styleId="TOC9">
    <w:name w:val="toc 9"/>
    <w:basedOn w:val="Normal"/>
    <w:next w:val="Normal"/>
    <w:semiHidden/>
    <w:pPr>
      <w:tabs>
        <w:tab w:val="left" w:pos="5103"/>
        <w:tab w:val="right" w:leader="dot" w:pos="9639"/>
      </w:tabs>
      <w:ind w:left="5103" w:right="567" w:hanging="567"/>
    </w:pPr>
  </w:style>
  <w:style w:type="paragraph" w:styleId="EndnoteText">
    <w:name w:val="endnote text"/>
    <w:basedOn w:val="Normal"/>
    <w:semiHidden/>
    <w:pPr>
      <w:tabs>
        <w:tab w:val="left" w:pos="567"/>
      </w:tabs>
      <w:spacing w:line="240" w:lineRule="auto"/>
      <w:ind w:left="567" w:hanging="567"/>
    </w:pPr>
  </w:style>
  <w:style w:type="character" w:styleId="EndnoteReference">
    <w:name w:val="endnote reference"/>
    <w:semiHidden/>
    <w:rPr>
      <w:b/>
      <w:bCs/>
      <w:vertAlign w:val="superscript"/>
    </w:rPr>
  </w:style>
  <w:style w:type="paragraph" w:customStyle="1" w:styleId="AC">
    <w:name w:val="AC"/>
    <w:basedOn w:val="Normal"/>
    <w:next w:val="Normal"/>
    <w:rPr>
      <w:b/>
      <w:bCs/>
      <w:sz w:val="40"/>
      <w:szCs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iCs/>
      <w:sz w:val="20"/>
      <w:szCs w:val="20"/>
      <w:lang w:eastAsia="en-US"/>
    </w:rPr>
  </w:style>
  <w:style w:type="paragraph" w:styleId="DocumentMap">
    <w:name w:val="Document Map"/>
    <w:basedOn w:val="Normal"/>
    <w:semiHidden/>
    <w:rsid w:val="00CF2519"/>
    <w:pPr>
      <w:shd w:val="clear" w:color="auto" w:fill="000080"/>
    </w:pPr>
    <w:rPr>
      <w:rFonts w:ascii="Tahoma" w:hAnsi="Tahoma" w:cs="Tahoma"/>
    </w:rPr>
  </w:style>
  <w:style w:type="paragraph" w:styleId="BalloonText">
    <w:name w:val="Balloon Text"/>
    <w:basedOn w:val="Normal"/>
    <w:semiHidden/>
    <w:rsid w:val="007D0248"/>
    <w:rPr>
      <w:rFonts w:ascii="Tahoma" w:hAnsi="Tahoma" w:cs="Tahoma"/>
      <w:sz w:val="16"/>
      <w:szCs w:val="16"/>
    </w:rPr>
  </w:style>
  <w:style w:type="paragraph" w:customStyle="1" w:styleId="Normal05">
    <w:name w:val="Normal +0.5"/>
    <w:basedOn w:val="Normal"/>
    <w:rsid w:val="00814EA5"/>
    <w:pPr>
      <w:widowControl/>
      <w:autoSpaceDE w:val="0"/>
      <w:autoSpaceDN w:val="0"/>
      <w:adjustRightInd w:val="0"/>
      <w:spacing w:line="240" w:lineRule="auto"/>
      <w:ind w:left="284"/>
    </w:pPr>
    <w:rPr>
      <w:lang w:eastAsia="fr-FR"/>
    </w:rPr>
  </w:style>
  <w:style w:type="paragraph" w:customStyle="1" w:styleId="Footnote">
    <w:name w:val="Footnote"/>
    <w:basedOn w:val="FootnoteText"/>
    <w:rsid w:val="00814EA5"/>
    <w:pPr>
      <w:widowControl/>
      <w:tabs>
        <w:tab w:val="clear" w:pos="567"/>
      </w:tabs>
      <w:spacing w:after="60"/>
      <w:ind w:left="240" w:hanging="240"/>
    </w:pPr>
    <w:rPr>
      <w:sz w:val="18"/>
      <w:szCs w:val="18"/>
      <w:lang w:eastAsia="fr-FR"/>
    </w:rPr>
  </w:style>
  <w:style w:type="paragraph" w:customStyle="1" w:styleId="ParagNormal">
    <w:name w:val="ParagNormal"/>
    <w:basedOn w:val="Normal"/>
    <w:rsid w:val="00814EA5"/>
    <w:pPr>
      <w:widowControl/>
      <w:spacing w:after="240" w:line="240" w:lineRule="auto"/>
      <w:jc w:val="both"/>
    </w:pPr>
    <w:rPr>
      <w:lang w:eastAsia="fr-FR"/>
    </w:rPr>
  </w:style>
  <w:style w:type="character" w:styleId="Hyperlink">
    <w:name w:val="Hyperlink"/>
    <w:uiPriority w:val="99"/>
    <w:rsid w:val="00814EA5"/>
    <w:rPr>
      <w:color w:val="0000FF"/>
      <w:u w:val="single"/>
    </w:rPr>
  </w:style>
  <w:style w:type="paragraph" w:customStyle="1" w:styleId="CharChar">
    <w:name w:val="Char Char"/>
    <w:basedOn w:val="Normal"/>
    <w:next w:val="Normal"/>
    <w:rsid w:val="00AE3352"/>
    <w:pPr>
      <w:widowControl/>
      <w:spacing w:after="160" w:line="240" w:lineRule="exact"/>
    </w:pPr>
    <w:rPr>
      <w:rFonts w:ascii="Tahoma" w:hAnsi="Tahoma"/>
      <w:szCs w:val="20"/>
      <w:lang w:eastAsia="en-US"/>
    </w:rPr>
  </w:style>
  <w:style w:type="character" w:customStyle="1" w:styleId="FooterChar">
    <w:name w:val="Footer Char"/>
    <w:link w:val="Footer"/>
    <w:uiPriority w:val="99"/>
    <w:rsid w:val="00E30990"/>
    <w:rPr>
      <w:sz w:val="24"/>
      <w:szCs w:val="24"/>
      <w:lang w:val="nl-NL"/>
    </w:rPr>
  </w:style>
  <w:style w:type="paragraph" w:customStyle="1" w:styleId="Paragraphestandard">
    <w:name w:val="[Paragraphe standard]"/>
    <w:basedOn w:val="Normal"/>
    <w:uiPriority w:val="99"/>
    <w:rsid w:val="00793DB4"/>
    <w:pPr>
      <w:suppressAutoHyphens/>
      <w:autoSpaceDE w:val="0"/>
      <w:autoSpaceDN w:val="0"/>
      <w:adjustRightInd w:val="0"/>
      <w:spacing w:line="320" w:lineRule="atLeast"/>
      <w:textAlignment w:val="center"/>
    </w:pPr>
    <w:rPr>
      <w:rFonts w:ascii="Arial" w:eastAsia="Cambria" w:hAnsi="Arial" w:cs="Arial"/>
      <w:sz w:val="22"/>
      <w:szCs w:val="22"/>
      <w:lang w:eastAsia="en-US"/>
    </w:rPr>
  </w:style>
  <w:style w:type="paragraph" w:styleId="BodyTextIndent2">
    <w:name w:val="Body Text Indent 2"/>
    <w:basedOn w:val="Normal"/>
    <w:link w:val="BodyTextIndent2Char"/>
    <w:rsid w:val="00B337F3"/>
    <w:pPr>
      <w:ind w:left="1134" w:hanging="567"/>
    </w:pPr>
    <w:rPr>
      <w:szCs w:val="20"/>
    </w:rPr>
  </w:style>
  <w:style w:type="character" w:customStyle="1" w:styleId="BodyTextIndent2Char">
    <w:name w:val="Body Text Indent 2 Char"/>
    <w:link w:val="BodyTextIndent2"/>
    <w:rsid w:val="00B337F3"/>
    <w:rPr>
      <w:sz w:val="24"/>
      <w:lang w:val="nl-NL" w:eastAsia="fr-BE"/>
    </w:rPr>
  </w:style>
  <w:style w:type="character" w:customStyle="1" w:styleId="Heading2Char">
    <w:name w:val="Heading 2 Char"/>
    <w:link w:val="Heading2"/>
    <w:rsid w:val="007355A0"/>
    <w:rPr>
      <w:b/>
      <w:bCs/>
      <w:sz w:val="24"/>
      <w:szCs w:val="24"/>
      <w:lang w:eastAsia="fr-BE"/>
    </w:rPr>
  </w:style>
  <w:style w:type="paragraph" w:customStyle="1" w:styleId="Default">
    <w:name w:val="Default"/>
    <w:rsid w:val="00643F2F"/>
    <w:pPr>
      <w:autoSpaceDE w:val="0"/>
      <w:autoSpaceDN w:val="0"/>
      <w:adjustRightInd w:val="0"/>
    </w:pPr>
    <w:rPr>
      <w:rFonts w:ascii="EUAlbertina" w:hAnsi="EUAlbertina" w:cs="EUAlbertina"/>
      <w:color w:val="000000"/>
      <w:sz w:val="24"/>
      <w:szCs w:val="24"/>
      <w:lang w:val="en-GB" w:eastAsia="en-GB"/>
    </w:rPr>
  </w:style>
  <w:style w:type="paragraph" w:customStyle="1" w:styleId="CharChar0">
    <w:name w:val="Char Char"/>
    <w:basedOn w:val="Normal"/>
    <w:next w:val="Normal"/>
    <w:rsid w:val="00600ED6"/>
    <w:pPr>
      <w:widowControl/>
      <w:spacing w:after="160" w:line="240" w:lineRule="exact"/>
    </w:pPr>
    <w:rPr>
      <w:rFonts w:ascii="Tahoma" w:hAnsi="Tahoma"/>
      <w:szCs w:val="20"/>
      <w:lang w:val="en-US" w:eastAsia="en-US"/>
    </w:rPr>
  </w:style>
  <w:style w:type="character" w:customStyle="1" w:styleId="shorttext">
    <w:name w:val="short_text"/>
    <w:rsid w:val="00600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ndering.consilium.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ing@consilium.europ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9A64-DEC5-4138-8FF7-AEF23E38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23765</CharactersWithSpaces>
  <SharedDoc>false</SharedDoc>
  <HLinks>
    <vt:vector size="192" baseType="variant">
      <vt:variant>
        <vt:i4>3670125</vt:i4>
      </vt:variant>
      <vt:variant>
        <vt:i4>192</vt:i4>
      </vt:variant>
      <vt:variant>
        <vt:i4>0</vt:i4>
      </vt:variant>
      <vt:variant>
        <vt:i4>5</vt:i4>
      </vt:variant>
      <vt:variant>
        <vt:lpwstr>https://tendering.consilium.europa.eu/</vt:lpwstr>
      </vt:variant>
      <vt:variant>
        <vt:lpwstr/>
      </vt:variant>
      <vt:variant>
        <vt:i4>5177378</vt:i4>
      </vt:variant>
      <vt:variant>
        <vt:i4>189</vt:i4>
      </vt:variant>
      <vt:variant>
        <vt:i4>0</vt:i4>
      </vt:variant>
      <vt:variant>
        <vt:i4>5</vt:i4>
      </vt:variant>
      <vt:variant>
        <vt:lpwstr>mailto:tendering@consilium.europa.eu</vt:lpwstr>
      </vt:variant>
      <vt:variant>
        <vt:lpwstr/>
      </vt:variant>
      <vt:variant>
        <vt:i4>1376311</vt:i4>
      </vt:variant>
      <vt:variant>
        <vt:i4>176</vt:i4>
      </vt:variant>
      <vt:variant>
        <vt:i4>0</vt:i4>
      </vt:variant>
      <vt:variant>
        <vt:i4>5</vt:i4>
      </vt:variant>
      <vt:variant>
        <vt:lpwstr/>
      </vt:variant>
      <vt:variant>
        <vt:lpwstr>_Toc447616562</vt:lpwstr>
      </vt:variant>
      <vt:variant>
        <vt:i4>1376311</vt:i4>
      </vt:variant>
      <vt:variant>
        <vt:i4>170</vt:i4>
      </vt:variant>
      <vt:variant>
        <vt:i4>0</vt:i4>
      </vt:variant>
      <vt:variant>
        <vt:i4>5</vt:i4>
      </vt:variant>
      <vt:variant>
        <vt:lpwstr/>
      </vt:variant>
      <vt:variant>
        <vt:lpwstr>_Toc447616561</vt:lpwstr>
      </vt:variant>
      <vt:variant>
        <vt:i4>1376311</vt:i4>
      </vt:variant>
      <vt:variant>
        <vt:i4>164</vt:i4>
      </vt:variant>
      <vt:variant>
        <vt:i4>0</vt:i4>
      </vt:variant>
      <vt:variant>
        <vt:i4>5</vt:i4>
      </vt:variant>
      <vt:variant>
        <vt:lpwstr/>
      </vt:variant>
      <vt:variant>
        <vt:lpwstr>_Toc447616560</vt:lpwstr>
      </vt:variant>
      <vt:variant>
        <vt:i4>1441847</vt:i4>
      </vt:variant>
      <vt:variant>
        <vt:i4>158</vt:i4>
      </vt:variant>
      <vt:variant>
        <vt:i4>0</vt:i4>
      </vt:variant>
      <vt:variant>
        <vt:i4>5</vt:i4>
      </vt:variant>
      <vt:variant>
        <vt:lpwstr/>
      </vt:variant>
      <vt:variant>
        <vt:lpwstr>_Toc447616559</vt:lpwstr>
      </vt:variant>
      <vt:variant>
        <vt:i4>1441847</vt:i4>
      </vt:variant>
      <vt:variant>
        <vt:i4>152</vt:i4>
      </vt:variant>
      <vt:variant>
        <vt:i4>0</vt:i4>
      </vt:variant>
      <vt:variant>
        <vt:i4>5</vt:i4>
      </vt:variant>
      <vt:variant>
        <vt:lpwstr/>
      </vt:variant>
      <vt:variant>
        <vt:lpwstr>_Toc447616558</vt:lpwstr>
      </vt:variant>
      <vt:variant>
        <vt:i4>1441847</vt:i4>
      </vt:variant>
      <vt:variant>
        <vt:i4>146</vt:i4>
      </vt:variant>
      <vt:variant>
        <vt:i4>0</vt:i4>
      </vt:variant>
      <vt:variant>
        <vt:i4>5</vt:i4>
      </vt:variant>
      <vt:variant>
        <vt:lpwstr/>
      </vt:variant>
      <vt:variant>
        <vt:lpwstr>_Toc447616557</vt:lpwstr>
      </vt:variant>
      <vt:variant>
        <vt:i4>1441847</vt:i4>
      </vt:variant>
      <vt:variant>
        <vt:i4>140</vt:i4>
      </vt:variant>
      <vt:variant>
        <vt:i4>0</vt:i4>
      </vt:variant>
      <vt:variant>
        <vt:i4>5</vt:i4>
      </vt:variant>
      <vt:variant>
        <vt:lpwstr/>
      </vt:variant>
      <vt:variant>
        <vt:lpwstr>_Toc447616556</vt:lpwstr>
      </vt:variant>
      <vt:variant>
        <vt:i4>1441847</vt:i4>
      </vt:variant>
      <vt:variant>
        <vt:i4>134</vt:i4>
      </vt:variant>
      <vt:variant>
        <vt:i4>0</vt:i4>
      </vt:variant>
      <vt:variant>
        <vt:i4>5</vt:i4>
      </vt:variant>
      <vt:variant>
        <vt:lpwstr/>
      </vt:variant>
      <vt:variant>
        <vt:lpwstr>_Toc447616555</vt:lpwstr>
      </vt:variant>
      <vt:variant>
        <vt:i4>1441847</vt:i4>
      </vt:variant>
      <vt:variant>
        <vt:i4>128</vt:i4>
      </vt:variant>
      <vt:variant>
        <vt:i4>0</vt:i4>
      </vt:variant>
      <vt:variant>
        <vt:i4>5</vt:i4>
      </vt:variant>
      <vt:variant>
        <vt:lpwstr/>
      </vt:variant>
      <vt:variant>
        <vt:lpwstr>_Toc447616554</vt:lpwstr>
      </vt:variant>
      <vt:variant>
        <vt:i4>1441847</vt:i4>
      </vt:variant>
      <vt:variant>
        <vt:i4>122</vt:i4>
      </vt:variant>
      <vt:variant>
        <vt:i4>0</vt:i4>
      </vt:variant>
      <vt:variant>
        <vt:i4>5</vt:i4>
      </vt:variant>
      <vt:variant>
        <vt:lpwstr/>
      </vt:variant>
      <vt:variant>
        <vt:lpwstr>_Toc447616553</vt:lpwstr>
      </vt:variant>
      <vt:variant>
        <vt:i4>1441847</vt:i4>
      </vt:variant>
      <vt:variant>
        <vt:i4>116</vt:i4>
      </vt:variant>
      <vt:variant>
        <vt:i4>0</vt:i4>
      </vt:variant>
      <vt:variant>
        <vt:i4>5</vt:i4>
      </vt:variant>
      <vt:variant>
        <vt:lpwstr/>
      </vt:variant>
      <vt:variant>
        <vt:lpwstr>_Toc447616552</vt:lpwstr>
      </vt:variant>
      <vt:variant>
        <vt:i4>1441847</vt:i4>
      </vt:variant>
      <vt:variant>
        <vt:i4>110</vt:i4>
      </vt:variant>
      <vt:variant>
        <vt:i4>0</vt:i4>
      </vt:variant>
      <vt:variant>
        <vt:i4>5</vt:i4>
      </vt:variant>
      <vt:variant>
        <vt:lpwstr/>
      </vt:variant>
      <vt:variant>
        <vt:lpwstr>_Toc447616551</vt:lpwstr>
      </vt:variant>
      <vt:variant>
        <vt:i4>1441847</vt:i4>
      </vt:variant>
      <vt:variant>
        <vt:i4>104</vt:i4>
      </vt:variant>
      <vt:variant>
        <vt:i4>0</vt:i4>
      </vt:variant>
      <vt:variant>
        <vt:i4>5</vt:i4>
      </vt:variant>
      <vt:variant>
        <vt:lpwstr/>
      </vt:variant>
      <vt:variant>
        <vt:lpwstr>_Toc447616550</vt:lpwstr>
      </vt:variant>
      <vt:variant>
        <vt:i4>1507383</vt:i4>
      </vt:variant>
      <vt:variant>
        <vt:i4>98</vt:i4>
      </vt:variant>
      <vt:variant>
        <vt:i4>0</vt:i4>
      </vt:variant>
      <vt:variant>
        <vt:i4>5</vt:i4>
      </vt:variant>
      <vt:variant>
        <vt:lpwstr/>
      </vt:variant>
      <vt:variant>
        <vt:lpwstr>_Toc447616549</vt:lpwstr>
      </vt:variant>
      <vt:variant>
        <vt:i4>1507383</vt:i4>
      </vt:variant>
      <vt:variant>
        <vt:i4>92</vt:i4>
      </vt:variant>
      <vt:variant>
        <vt:i4>0</vt:i4>
      </vt:variant>
      <vt:variant>
        <vt:i4>5</vt:i4>
      </vt:variant>
      <vt:variant>
        <vt:lpwstr/>
      </vt:variant>
      <vt:variant>
        <vt:lpwstr>_Toc447616548</vt:lpwstr>
      </vt:variant>
      <vt:variant>
        <vt:i4>1507383</vt:i4>
      </vt:variant>
      <vt:variant>
        <vt:i4>86</vt:i4>
      </vt:variant>
      <vt:variant>
        <vt:i4>0</vt:i4>
      </vt:variant>
      <vt:variant>
        <vt:i4>5</vt:i4>
      </vt:variant>
      <vt:variant>
        <vt:lpwstr/>
      </vt:variant>
      <vt:variant>
        <vt:lpwstr>_Toc447616547</vt:lpwstr>
      </vt:variant>
      <vt:variant>
        <vt:i4>1507383</vt:i4>
      </vt:variant>
      <vt:variant>
        <vt:i4>80</vt:i4>
      </vt:variant>
      <vt:variant>
        <vt:i4>0</vt:i4>
      </vt:variant>
      <vt:variant>
        <vt:i4>5</vt:i4>
      </vt:variant>
      <vt:variant>
        <vt:lpwstr/>
      </vt:variant>
      <vt:variant>
        <vt:lpwstr>_Toc447616546</vt:lpwstr>
      </vt:variant>
      <vt:variant>
        <vt:i4>1507383</vt:i4>
      </vt:variant>
      <vt:variant>
        <vt:i4>74</vt:i4>
      </vt:variant>
      <vt:variant>
        <vt:i4>0</vt:i4>
      </vt:variant>
      <vt:variant>
        <vt:i4>5</vt:i4>
      </vt:variant>
      <vt:variant>
        <vt:lpwstr/>
      </vt:variant>
      <vt:variant>
        <vt:lpwstr>_Toc447616545</vt:lpwstr>
      </vt:variant>
      <vt:variant>
        <vt:i4>1507383</vt:i4>
      </vt:variant>
      <vt:variant>
        <vt:i4>68</vt:i4>
      </vt:variant>
      <vt:variant>
        <vt:i4>0</vt:i4>
      </vt:variant>
      <vt:variant>
        <vt:i4>5</vt:i4>
      </vt:variant>
      <vt:variant>
        <vt:lpwstr/>
      </vt:variant>
      <vt:variant>
        <vt:lpwstr>_Toc447616544</vt:lpwstr>
      </vt:variant>
      <vt:variant>
        <vt:i4>1507383</vt:i4>
      </vt:variant>
      <vt:variant>
        <vt:i4>62</vt:i4>
      </vt:variant>
      <vt:variant>
        <vt:i4>0</vt:i4>
      </vt:variant>
      <vt:variant>
        <vt:i4>5</vt:i4>
      </vt:variant>
      <vt:variant>
        <vt:lpwstr/>
      </vt:variant>
      <vt:variant>
        <vt:lpwstr>_Toc447616543</vt:lpwstr>
      </vt:variant>
      <vt:variant>
        <vt:i4>1507383</vt:i4>
      </vt:variant>
      <vt:variant>
        <vt:i4>56</vt:i4>
      </vt:variant>
      <vt:variant>
        <vt:i4>0</vt:i4>
      </vt:variant>
      <vt:variant>
        <vt:i4>5</vt:i4>
      </vt:variant>
      <vt:variant>
        <vt:lpwstr/>
      </vt:variant>
      <vt:variant>
        <vt:lpwstr>_Toc447616542</vt:lpwstr>
      </vt:variant>
      <vt:variant>
        <vt:i4>1507383</vt:i4>
      </vt:variant>
      <vt:variant>
        <vt:i4>50</vt:i4>
      </vt:variant>
      <vt:variant>
        <vt:i4>0</vt:i4>
      </vt:variant>
      <vt:variant>
        <vt:i4>5</vt:i4>
      </vt:variant>
      <vt:variant>
        <vt:lpwstr/>
      </vt:variant>
      <vt:variant>
        <vt:lpwstr>_Toc447616541</vt:lpwstr>
      </vt:variant>
      <vt:variant>
        <vt:i4>1507383</vt:i4>
      </vt:variant>
      <vt:variant>
        <vt:i4>44</vt:i4>
      </vt:variant>
      <vt:variant>
        <vt:i4>0</vt:i4>
      </vt:variant>
      <vt:variant>
        <vt:i4>5</vt:i4>
      </vt:variant>
      <vt:variant>
        <vt:lpwstr/>
      </vt:variant>
      <vt:variant>
        <vt:lpwstr>_Toc447616540</vt:lpwstr>
      </vt:variant>
      <vt:variant>
        <vt:i4>1048631</vt:i4>
      </vt:variant>
      <vt:variant>
        <vt:i4>38</vt:i4>
      </vt:variant>
      <vt:variant>
        <vt:i4>0</vt:i4>
      </vt:variant>
      <vt:variant>
        <vt:i4>5</vt:i4>
      </vt:variant>
      <vt:variant>
        <vt:lpwstr/>
      </vt:variant>
      <vt:variant>
        <vt:lpwstr>_Toc447616539</vt:lpwstr>
      </vt:variant>
      <vt:variant>
        <vt:i4>1048631</vt:i4>
      </vt:variant>
      <vt:variant>
        <vt:i4>32</vt:i4>
      </vt:variant>
      <vt:variant>
        <vt:i4>0</vt:i4>
      </vt:variant>
      <vt:variant>
        <vt:i4>5</vt:i4>
      </vt:variant>
      <vt:variant>
        <vt:lpwstr/>
      </vt:variant>
      <vt:variant>
        <vt:lpwstr>_Toc447616538</vt:lpwstr>
      </vt:variant>
      <vt:variant>
        <vt:i4>1048631</vt:i4>
      </vt:variant>
      <vt:variant>
        <vt:i4>26</vt:i4>
      </vt:variant>
      <vt:variant>
        <vt:i4>0</vt:i4>
      </vt:variant>
      <vt:variant>
        <vt:i4>5</vt:i4>
      </vt:variant>
      <vt:variant>
        <vt:lpwstr/>
      </vt:variant>
      <vt:variant>
        <vt:lpwstr>_Toc447616537</vt:lpwstr>
      </vt:variant>
      <vt:variant>
        <vt:i4>1048631</vt:i4>
      </vt:variant>
      <vt:variant>
        <vt:i4>20</vt:i4>
      </vt:variant>
      <vt:variant>
        <vt:i4>0</vt:i4>
      </vt:variant>
      <vt:variant>
        <vt:i4>5</vt:i4>
      </vt:variant>
      <vt:variant>
        <vt:lpwstr/>
      </vt:variant>
      <vt:variant>
        <vt:lpwstr>_Toc447616536</vt:lpwstr>
      </vt:variant>
      <vt:variant>
        <vt:i4>1048631</vt:i4>
      </vt:variant>
      <vt:variant>
        <vt:i4>14</vt:i4>
      </vt:variant>
      <vt:variant>
        <vt:i4>0</vt:i4>
      </vt:variant>
      <vt:variant>
        <vt:i4>5</vt:i4>
      </vt:variant>
      <vt:variant>
        <vt:lpwstr/>
      </vt:variant>
      <vt:variant>
        <vt:lpwstr>_Toc447616535</vt:lpwstr>
      </vt:variant>
      <vt:variant>
        <vt:i4>1048631</vt:i4>
      </vt:variant>
      <vt:variant>
        <vt:i4>8</vt:i4>
      </vt:variant>
      <vt:variant>
        <vt:i4>0</vt:i4>
      </vt:variant>
      <vt:variant>
        <vt:i4>5</vt:i4>
      </vt:variant>
      <vt:variant>
        <vt:lpwstr/>
      </vt:variant>
      <vt:variant>
        <vt:lpwstr>_Toc447616534</vt:lpwstr>
      </vt:variant>
      <vt:variant>
        <vt:i4>1048631</vt:i4>
      </vt:variant>
      <vt:variant>
        <vt:i4>2</vt:i4>
      </vt:variant>
      <vt:variant>
        <vt:i4>0</vt:i4>
      </vt:variant>
      <vt:variant>
        <vt:i4>5</vt:i4>
      </vt:variant>
      <vt:variant>
        <vt:lpwstr/>
      </vt:variant>
      <vt:variant>
        <vt:lpwstr>_Toc447616533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VAN HOOREWEDER Sonja</dc:creator>
  <dc:description>v1.2 (2015-11)</dc:description>
  <cp:lastModifiedBy>CARRILHO Joao</cp:lastModifiedBy>
  <cp:revision>5</cp:revision>
  <cp:lastPrinted>2016-04-12T10:11:00Z</cp:lastPrinted>
  <dcterms:created xsi:type="dcterms:W3CDTF">2016-08-24T10:43:00Z</dcterms:created>
  <dcterms:modified xsi:type="dcterms:W3CDTF">2016-08-25T15:00:00Z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kipControlLengthPage">
    <vt:lpwstr/>
  </property>
</Properties>
</file>