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5478"/>
        <w:gridCol w:w="2522"/>
      </w:tblGrid>
      <w:tr w:rsidR="00CF494B" w:rsidRPr="008D03D6" w:rsidTr="006E4435">
        <w:trPr>
          <w:trHeight w:val="1475"/>
        </w:trPr>
        <w:tc>
          <w:tcPr>
            <w:tcW w:w="1772" w:type="dxa"/>
          </w:tcPr>
          <w:p w:rsidR="00CF494B" w:rsidRPr="00207550" w:rsidRDefault="002051B5" w:rsidP="006E4435">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81" type="#_x0000_t75" alt="EC_Symbol(POS)_LowRes" style="position:absolute;margin-left:4.65pt;margin-top:4.65pt;width:76.55pt;height:66.65pt;z-index:251657728;visibility:visible">
                  <v:imagedata r:id="rId9" o:title="EC_Symbol(POS)_LowRes" croptop="10475f" cropbottom="10839f" cropleft="9893f" cropright="9877f"/>
                </v:shape>
              </w:pict>
            </w:r>
          </w:p>
        </w:tc>
        <w:tc>
          <w:tcPr>
            <w:tcW w:w="5478" w:type="dxa"/>
            <w:vAlign w:val="bottom"/>
          </w:tcPr>
          <w:p w:rsidR="00CF494B" w:rsidRPr="00207550" w:rsidRDefault="00CF494B" w:rsidP="006E4435">
            <w:pPr>
              <w:pStyle w:val="Paragraphestandard"/>
              <w:spacing w:line="250" w:lineRule="atLeast"/>
              <w:rPr>
                <w:b/>
                <w:bCs/>
                <w:color w:val="505050"/>
                <w:sz w:val="23"/>
                <w:szCs w:val="23"/>
              </w:rPr>
            </w:pPr>
            <w:r>
              <w:rPr>
                <w:b/>
                <w:bCs/>
                <w:color w:val="505050"/>
                <w:sz w:val="23"/>
                <w:szCs w:val="23"/>
              </w:rPr>
              <w:t>Council of the European Union</w:t>
            </w:r>
          </w:p>
          <w:p w:rsidR="00CF494B" w:rsidRPr="00207550" w:rsidRDefault="00CF494B" w:rsidP="006E4435">
            <w:pPr>
              <w:pStyle w:val="Paragraphestandard"/>
              <w:spacing w:line="250" w:lineRule="atLeast"/>
              <w:rPr>
                <w:color w:val="4D4D4D"/>
                <w:sz w:val="23"/>
                <w:szCs w:val="23"/>
              </w:rPr>
            </w:pPr>
            <w:r>
              <w:rPr>
                <w:color w:val="505050"/>
                <w:sz w:val="23"/>
                <w:szCs w:val="23"/>
              </w:rPr>
              <w:t>General Secretariat</w:t>
            </w:r>
          </w:p>
        </w:tc>
        <w:tc>
          <w:tcPr>
            <w:tcW w:w="2522" w:type="dxa"/>
          </w:tcPr>
          <w:p w:rsidR="00CF494B" w:rsidRPr="00207550" w:rsidRDefault="00CF494B" w:rsidP="006E4435">
            <w:pPr>
              <w:pStyle w:val="Paragraphestandard"/>
              <w:jc w:val="right"/>
              <w:rPr>
                <w:b/>
                <w:bCs/>
                <w:caps/>
                <w:color w:val="003399"/>
                <w:sz w:val="60"/>
                <w:szCs w:val="60"/>
              </w:rPr>
            </w:pPr>
          </w:p>
        </w:tc>
      </w:tr>
      <w:tr w:rsidR="00CF494B" w:rsidRPr="002051B5" w:rsidTr="006E4435">
        <w:trPr>
          <w:trHeight w:val="1081"/>
        </w:trPr>
        <w:tc>
          <w:tcPr>
            <w:tcW w:w="1772" w:type="dxa"/>
          </w:tcPr>
          <w:p w:rsidR="00CF494B" w:rsidRPr="00207550" w:rsidRDefault="00CF494B" w:rsidP="006E4435">
            <w:pPr>
              <w:pStyle w:val="Paragraphestandard"/>
              <w:spacing w:line="250" w:lineRule="atLeast"/>
              <w:rPr>
                <w:color w:val="505050"/>
                <w:sz w:val="23"/>
                <w:szCs w:val="23"/>
              </w:rPr>
            </w:pPr>
          </w:p>
        </w:tc>
        <w:tc>
          <w:tcPr>
            <w:tcW w:w="8000" w:type="dxa"/>
            <w:gridSpan w:val="2"/>
          </w:tcPr>
          <w:p w:rsidR="00CF494B" w:rsidRPr="00207550" w:rsidRDefault="00CF494B" w:rsidP="006E4435">
            <w:pPr>
              <w:pStyle w:val="Paragraphestandard"/>
              <w:spacing w:before="80" w:line="250" w:lineRule="atLeast"/>
              <w:rPr>
                <w:color w:val="4D4D4D"/>
                <w:sz w:val="23"/>
                <w:szCs w:val="23"/>
              </w:rPr>
            </w:pPr>
            <w:r>
              <w:rPr>
                <w:color w:val="4D4D4D"/>
                <w:sz w:val="23"/>
                <w:szCs w:val="23"/>
              </w:rPr>
              <w:t>Directorate-General for Administration</w:t>
            </w:r>
          </w:p>
          <w:p w:rsidR="00CF494B" w:rsidRPr="00207550" w:rsidRDefault="00CF494B" w:rsidP="000F4E85">
            <w:pPr>
              <w:pStyle w:val="Paragraphestandard"/>
              <w:spacing w:line="250" w:lineRule="atLeast"/>
              <w:rPr>
                <w:color w:val="4D4D4D"/>
                <w:sz w:val="23"/>
                <w:szCs w:val="23"/>
              </w:rPr>
            </w:pPr>
            <w:r>
              <w:rPr>
                <w:color w:val="4D4D4D"/>
                <w:sz w:val="23"/>
                <w:szCs w:val="23"/>
              </w:rPr>
              <w:t>Buildings/Logistics Directorate</w:t>
            </w:r>
          </w:p>
          <w:p w:rsidR="00CF494B" w:rsidRPr="00837961" w:rsidRDefault="00CF494B" w:rsidP="006E4435">
            <w:pPr>
              <w:pStyle w:val="Paragraphestandard"/>
              <w:spacing w:line="250" w:lineRule="atLeast"/>
              <w:rPr>
                <w:color w:val="4D4D4D"/>
                <w:sz w:val="23"/>
                <w:szCs w:val="23"/>
                <w:lang w:val="fr-BE"/>
              </w:rPr>
            </w:pPr>
            <w:r w:rsidRPr="00837961">
              <w:rPr>
                <w:color w:val="4D4D4D"/>
                <w:sz w:val="23"/>
                <w:szCs w:val="23"/>
                <w:lang w:val="fr-BE"/>
              </w:rPr>
              <w:t>Finances Unit</w:t>
            </w:r>
          </w:p>
          <w:p w:rsidR="00CF494B" w:rsidRPr="00837961" w:rsidRDefault="00CF494B" w:rsidP="006E4435">
            <w:pPr>
              <w:pStyle w:val="Paragraphestandard"/>
              <w:spacing w:line="250" w:lineRule="atLeast"/>
              <w:rPr>
                <w:b/>
                <w:bCs/>
                <w:caps/>
                <w:color w:val="003399"/>
                <w:w w:val="97"/>
                <w:sz w:val="23"/>
                <w:szCs w:val="23"/>
                <w:lang w:val="fr-BE"/>
              </w:rPr>
            </w:pPr>
            <w:r w:rsidRPr="00837961">
              <w:rPr>
                <w:i/>
                <w:iCs/>
                <w:color w:val="4D4D4D"/>
                <w:sz w:val="23"/>
                <w:szCs w:val="23"/>
                <w:lang w:val="fr-BE"/>
              </w:rPr>
              <w:t xml:space="preserve">Public </w:t>
            </w:r>
            <w:proofErr w:type="spellStart"/>
            <w:r w:rsidRPr="00837961">
              <w:rPr>
                <w:i/>
                <w:iCs/>
                <w:color w:val="4D4D4D"/>
                <w:sz w:val="23"/>
                <w:szCs w:val="23"/>
                <w:lang w:val="fr-BE"/>
              </w:rPr>
              <w:t>Procurement</w:t>
            </w:r>
            <w:proofErr w:type="spellEnd"/>
            <w:r w:rsidRPr="00837961">
              <w:rPr>
                <w:i/>
                <w:iCs/>
                <w:color w:val="4D4D4D"/>
                <w:sz w:val="23"/>
                <w:szCs w:val="23"/>
                <w:lang w:val="fr-BE"/>
              </w:rPr>
              <w:t xml:space="preserve"> </w:t>
            </w:r>
            <w:proofErr w:type="spellStart"/>
            <w:r w:rsidRPr="00837961">
              <w:rPr>
                <w:i/>
                <w:iCs/>
                <w:color w:val="4D4D4D"/>
                <w:sz w:val="23"/>
                <w:szCs w:val="23"/>
                <w:lang w:val="fr-BE"/>
              </w:rPr>
              <w:t>Contracts</w:t>
            </w:r>
            <w:proofErr w:type="spellEnd"/>
            <w:r w:rsidRPr="00837961">
              <w:rPr>
                <w:i/>
                <w:iCs/>
                <w:color w:val="4D4D4D"/>
                <w:sz w:val="23"/>
                <w:szCs w:val="23"/>
                <w:lang w:val="fr-BE"/>
              </w:rPr>
              <w:t xml:space="preserve"> </w:t>
            </w:r>
            <w:proofErr w:type="spellStart"/>
            <w:r w:rsidRPr="00837961">
              <w:rPr>
                <w:i/>
                <w:iCs/>
                <w:color w:val="4D4D4D"/>
                <w:sz w:val="23"/>
                <w:szCs w:val="23"/>
                <w:lang w:val="fr-BE"/>
              </w:rPr>
              <w:t>Sector</w:t>
            </w:r>
            <w:proofErr w:type="spellEnd"/>
          </w:p>
        </w:tc>
      </w:tr>
    </w:tbl>
    <w:p w:rsidR="00CF494B" w:rsidRPr="00207550" w:rsidRDefault="00CF494B" w:rsidP="00CF494B">
      <w:pPr>
        <w:spacing w:line="240" w:lineRule="auto"/>
        <w:ind w:right="-993"/>
        <w:rPr>
          <w:rFonts w:ascii="Arial" w:hAnsi="Arial" w:cs="Arial"/>
          <w:lang w:val="fr-FR"/>
        </w:rPr>
      </w:pPr>
    </w:p>
    <w:tbl>
      <w:tblPr>
        <w:tblW w:w="9772" w:type="dxa"/>
        <w:tblInd w:w="-108" w:type="dxa"/>
        <w:tblCellMar>
          <w:left w:w="0" w:type="dxa"/>
          <w:right w:w="0" w:type="dxa"/>
        </w:tblCellMar>
        <w:tblLook w:val="00A0" w:firstRow="1" w:lastRow="0" w:firstColumn="1" w:lastColumn="0" w:noHBand="0" w:noVBand="0"/>
      </w:tblPr>
      <w:tblGrid>
        <w:gridCol w:w="1772"/>
        <w:gridCol w:w="4831"/>
        <w:gridCol w:w="3169"/>
      </w:tblGrid>
      <w:tr w:rsidR="00CF494B" w:rsidRPr="00207550" w:rsidTr="006E4435">
        <w:trPr>
          <w:trHeight w:val="487"/>
        </w:trPr>
        <w:tc>
          <w:tcPr>
            <w:tcW w:w="1772" w:type="dxa"/>
          </w:tcPr>
          <w:p w:rsidR="00CF494B" w:rsidRPr="00837961" w:rsidRDefault="00CF494B" w:rsidP="006E4435">
            <w:pPr>
              <w:pStyle w:val="Paragraphestandard"/>
              <w:spacing w:line="250" w:lineRule="atLeast"/>
              <w:rPr>
                <w:color w:val="505050"/>
                <w:sz w:val="23"/>
                <w:szCs w:val="23"/>
                <w:lang w:val="fr-BE"/>
              </w:rPr>
            </w:pPr>
          </w:p>
        </w:tc>
        <w:tc>
          <w:tcPr>
            <w:tcW w:w="4831" w:type="dxa"/>
          </w:tcPr>
          <w:p w:rsidR="00CF494B" w:rsidRPr="00837961" w:rsidRDefault="00CF494B" w:rsidP="006E4435">
            <w:pPr>
              <w:pStyle w:val="Paragraphestandard"/>
              <w:spacing w:line="250" w:lineRule="atLeast"/>
              <w:rPr>
                <w:color w:val="505050"/>
                <w:sz w:val="23"/>
                <w:szCs w:val="23"/>
                <w:lang w:val="fr-BE"/>
              </w:rPr>
            </w:pPr>
          </w:p>
        </w:tc>
        <w:tc>
          <w:tcPr>
            <w:tcW w:w="3169" w:type="dxa"/>
          </w:tcPr>
          <w:p w:rsidR="00CF494B" w:rsidRPr="00207550" w:rsidRDefault="00CF494B" w:rsidP="006E4435">
            <w:pPr>
              <w:pStyle w:val="Paragraphestandard"/>
              <w:spacing w:line="250" w:lineRule="atLeast"/>
              <w:jc w:val="right"/>
              <w:rPr>
                <w:color w:val="003399"/>
                <w:sz w:val="23"/>
                <w:szCs w:val="23"/>
              </w:rPr>
            </w:pPr>
            <w:r>
              <w:rPr>
                <w:color w:val="003399"/>
                <w:sz w:val="23"/>
                <w:szCs w:val="23"/>
                <w:highlight w:val="yellow"/>
              </w:rPr>
              <w:t>Date</w:t>
            </w:r>
          </w:p>
        </w:tc>
      </w:tr>
    </w:tbl>
    <w:p w:rsidR="006A4DAF" w:rsidRPr="00207550" w:rsidRDefault="006A4DAF" w:rsidP="0067688A">
      <w:pPr>
        <w:spacing w:line="240" w:lineRule="auto"/>
        <w:rPr>
          <w:rFonts w:ascii="Arial" w:hAnsi="Arial" w:cs="Arial"/>
          <w:lang w:val="fr-FR"/>
        </w:rPr>
      </w:pPr>
    </w:p>
    <w:p w:rsidR="00FA1D1A" w:rsidRPr="00207550" w:rsidRDefault="00881BCD" w:rsidP="0067688A">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48"/>
          <w:szCs w:val="48"/>
        </w:rPr>
      </w:pPr>
      <w:r>
        <w:rPr>
          <w:rFonts w:ascii="Arial" w:hAnsi="Arial"/>
          <w:b/>
          <w:bCs/>
          <w:sz w:val="48"/>
          <w:szCs w:val="48"/>
        </w:rPr>
        <w:t>Annex I. Specifications</w:t>
      </w:r>
    </w:p>
    <w:p w:rsidR="00FA1D1A" w:rsidRPr="00207550" w:rsidRDefault="00881BCD" w:rsidP="002051B5">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32"/>
          <w:szCs w:val="32"/>
        </w:rPr>
      </w:pPr>
      <w:r>
        <w:rPr>
          <w:rFonts w:ascii="Arial" w:hAnsi="Arial"/>
          <w:b/>
          <w:bCs/>
          <w:sz w:val="32"/>
          <w:szCs w:val="32"/>
        </w:rPr>
        <w:t xml:space="preserve">Call for tenders UCA </w:t>
      </w:r>
      <w:r w:rsidR="002051B5">
        <w:rPr>
          <w:rFonts w:ascii="Arial" w:hAnsi="Arial"/>
          <w:b/>
          <w:bCs/>
          <w:sz w:val="32"/>
          <w:szCs w:val="32"/>
        </w:rPr>
        <w:t>028</w:t>
      </w:r>
      <w:r>
        <w:rPr>
          <w:rFonts w:ascii="Arial" w:hAnsi="Arial"/>
          <w:b/>
          <w:bCs/>
          <w:sz w:val="32"/>
          <w:szCs w:val="32"/>
        </w:rPr>
        <w:t>/16</w:t>
      </w:r>
    </w:p>
    <w:p w:rsidR="00FA1D1A" w:rsidRPr="00207550" w:rsidRDefault="00FA1D1A" w:rsidP="0024435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32"/>
          <w:szCs w:val="32"/>
        </w:rPr>
      </w:pPr>
      <w:r>
        <w:rPr>
          <w:rFonts w:ascii="Arial" w:hAnsi="Arial"/>
          <w:b/>
          <w:bCs/>
          <w:sz w:val="32"/>
          <w:szCs w:val="32"/>
        </w:rPr>
        <w:t>Open procedure</w:t>
      </w:r>
    </w:p>
    <w:p w:rsidR="00FA1D1A" w:rsidRPr="002051B5" w:rsidRDefault="00FA1D1A" w:rsidP="0067688A">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highlight w:val="cyan"/>
        </w:rPr>
      </w:pPr>
    </w:p>
    <w:p w:rsidR="00FA1D1A" w:rsidRPr="00E5109A" w:rsidRDefault="00E5109A" w:rsidP="00B629E1">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highlight w:val="cyan"/>
        </w:rPr>
      </w:pPr>
      <w:r>
        <w:rPr>
          <w:rFonts w:ascii="Arial" w:hAnsi="Arial"/>
        </w:rPr>
        <w:t>B-Brussels : Full-service maintenance, breakdown servicing and repair of equipment used for cleaning the façades of the Justus Lipsius building (Lot 1), the Lex building (Lot 2) and the buildings of the Committees (Economic and Social Committee and Committee of the Regions) (Lot 3)</w:t>
      </w:r>
    </w:p>
    <w:p w:rsidR="00FA1D1A" w:rsidRPr="00837961" w:rsidRDefault="00FA1D1A" w:rsidP="0067688A">
      <w:pPr>
        <w:rPr>
          <w:rFonts w:ascii="Arial" w:hAnsi="Arial" w:cs="Arial"/>
        </w:rPr>
      </w:pPr>
    </w:p>
    <w:p w:rsidR="00FA1D1A" w:rsidRPr="00207550" w:rsidRDefault="001A173A" w:rsidP="0067688A">
      <w:pPr>
        <w:jc w:val="center"/>
        <w:rPr>
          <w:rFonts w:ascii="Arial" w:hAnsi="Arial" w:cs="Arial"/>
          <w:b/>
          <w:bCs/>
          <w:sz w:val="28"/>
          <w:szCs w:val="28"/>
          <w:u w:val="single"/>
          <w:bdr w:val="single" w:sz="4" w:space="0" w:color="auto"/>
        </w:rPr>
      </w:pPr>
      <w:r>
        <w:br w:type="page"/>
      </w:r>
      <w:r>
        <w:rPr>
          <w:rFonts w:ascii="Arial" w:hAnsi="Arial"/>
          <w:b/>
          <w:bCs/>
          <w:sz w:val="28"/>
          <w:szCs w:val="28"/>
          <w:u w:val="single"/>
          <w:bdr w:val="single" w:sz="4" w:space="0" w:color="auto"/>
        </w:rPr>
        <w:lastRenderedPageBreak/>
        <w:t>TABLE OF CONTENTS</w:t>
      </w:r>
    </w:p>
    <w:p w:rsidR="00FA1D1A" w:rsidRPr="00837961" w:rsidRDefault="00FA1D1A" w:rsidP="0067688A">
      <w:pPr>
        <w:jc w:val="center"/>
        <w:rPr>
          <w:rFonts w:ascii="Arial" w:hAnsi="Arial" w:cs="Arial"/>
        </w:rPr>
      </w:pPr>
    </w:p>
    <w:p w:rsidR="007E2761" w:rsidRDefault="00FA1D1A">
      <w:pPr>
        <w:pStyle w:val="TOC1"/>
        <w:rPr>
          <w:rFonts w:asciiTheme="minorHAnsi" w:eastAsiaTheme="minorEastAsia" w:hAnsiTheme="minorHAnsi" w:cstheme="minorBidi"/>
          <w:noProof/>
          <w:sz w:val="22"/>
          <w:szCs w:val="22"/>
          <w:lang w:eastAsia="en-GB"/>
        </w:rPr>
      </w:pPr>
      <w:r>
        <w:rPr>
          <w:rFonts w:ascii="Arial" w:hAnsi="Arial" w:cs="Arial"/>
          <w:caps/>
        </w:rPr>
        <w:fldChar w:fldCharType="begin"/>
      </w:r>
      <w:r w:rsidRPr="00207550">
        <w:rPr>
          <w:rFonts w:ascii="Arial" w:hAnsi="Arial" w:cs="Arial"/>
          <w:caps/>
        </w:rPr>
        <w:instrText xml:space="preserve"> TOC \o "1-4" \h \z \u </w:instrText>
      </w:r>
      <w:r>
        <w:rPr>
          <w:rFonts w:ascii="Arial" w:hAnsi="Arial" w:cs="Arial"/>
          <w:caps/>
        </w:rPr>
        <w:fldChar w:fldCharType="separate"/>
      </w:r>
      <w:hyperlink w:anchor="_Toc448913611" w:history="1">
        <w:r w:rsidR="007E2761" w:rsidRPr="00C33327">
          <w:rPr>
            <w:rStyle w:val="Hyperlink"/>
            <w:rFonts w:ascii="Arial" w:hAnsi="Arial" w:cs="Arial"/>
            <w:noProof/>
          </w:rPr>
          <w:t>I.</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Contracting authority</w:t>
        </w:r>
        <w:r w:rsidR="007E2761">
          <w:rPr>
            <w:noProof/>
            <w:webHidden/>
          </w:rPr>
          <w:tab/>
        </w:r>
        <w:r w:rsidR="007E2761">
          <w:rPr>
            <w:noProof/>
            <w:webHidden/>
          </w:rPr>
          <w:fldChar w:fldCharType="begin"/>
        </w:r>
        <w:r w:rsidR="007E2761">
          <w:rPr>
            <w:noProof/>
            <w:webHidden/>
          </w:rPr>
          <w:instrText xml:space="preserve"> PAGEREF _Toc448913611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1"/>
        <w:rPr>
          <w:rFonts w:asciiTheme="minorHAnsi" w:eastAsiaTheme="minorEastAsia" w:hAnsiTheme="minorHAnsi" w:cstheme="minorBidi"/>
          <w:noProof/>
          <w:sz w:val="22"/>
          <w:szCs w:val="22"/>
          <w:lang w:eastAsia="en-GB"/>
        </w:rPr>
      </w:pPr>
      <w:hyperlink w:anchor="_Toc448913612" w:history="1">
        <w:r w:rsidR="007E2761" w:rsidRPr="00C33327">
          <w:rPr>
            <w:rStyle w:val="Hyperlink"/>
            <w:rFonts w:ascii="Arial" w:hAnsi="Arial" w:cs="Arial"/>
            <w:noProof/>
          </w:rPr>
          <w:t>II.</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Object of the Contract</w:t>
        </w:r>
        <w:r w:rsidR="007E2761">
          <w:rPr>
            <w:noProof/>
            <w:webHidden/>
          </w:rPr>
          <w:tab/>
        </w:r>
        <w:r w:rsidR="007E2761">
          <w:rPr>
            <w:noProof/>
            <w:webHidden/>
          </w:rPr>
          <w:fldChar w:fldCharType="begin"/>
        </w:r>
        <w:r w:rsidR="007E2761">
          <w:rPr>
            <w:noProof/>
            <w:webHidden/>
          </w:rPr>
          <w:instrText xml:space="preserve"> PAGEREF _Toc448913612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2"/>
        <w:rPr>
          <w:rFonts w:asciiTheme="minorHAnsi" w:eastAsiaTheme="minorEastAsia" w:hAnsiTheme="minorHAnsi" w:cstheme="minorBidi"/>
          <w:noProof/>
          <w:sz w:val="22"/>
          <w:szCs w:val="22"/>
          <w:lang w:eastAsia="en-GB"/>
        </w:rPr>
      </w:pPr>
      <w:hyperlink w:anchor="_Toc448913613" w:history="1">
        <w:r w:rsidR="007E2761" w:rsidRPr="00C33327">
          <w:rPr>
            <w:rStyle w:val="Hyperlink"/>
            <w:rFonts w:ascii="Arial" w:hAnsi="Arial" w:cs="Arial"/>
            <w:noProof/>
          </w:rPr>
          <w:t>1.</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Title of the Contract</w:t>
        </w:r>
        <w:r w:rsidR="007E2761">
          <w:rPr>
            <w:noProof/>
            <w:webHidden/>
          </w:rPr>
          <w:tab/>
        </w:r>
        <w:r w:rsidR="007E2761">
          <w:rPr>
            <w:noProof/>
            <w:webHidden/>
          </w:rPr>
          <w:fldChar w:fldCharType="begin"/>
        </w:r>
        <w:r w:rsidR="007E2761">
          <w:rPr>
            <w:noProof/>
            <w:webHidden/>
          </w:rPr>
          <w:instrText xml:space="preserve"> PAGEREF _Toc448913613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2"/>
        <w:rPr>
          <w:rFonts w:asciiTheme="minorHAnsi" w:eastAsiaTheme="minorEastAsia" w:hAnsiTheme="minorHAnsi" w:cstheme="minorBidi"/>
          <w:noProof/>
          <w:sz w:val="22"/>
          <w:szCs w:val="22"/>
          <w:lang w:eastAsia="en-GB"/>
        </w:rPr>
      </w:pPr>
      <w:hyperlink w:anchor="_Toc448913614" w:history="1">
        <w:r w:rsidR="007E2761" w:rsidRPr="00C33327">
          <w:rPr>
            <w:rStyle w:val="Hyperlink"/>
            <w:rFonts w:ascii="Arial" w:hAnsi="Arial" w:cs="Arial"/>
            <w:noProof/>
          </w:rPr>
          <w:t>2.</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Background, object and purpose of the contract</w:t>
        </w:r>
        <w:r w:rsidR="007E2761">
          <w:rPr>
            <w:noProof/>
            <w:webHidden/>
          </w:rPr>
          <w:tab/>
        </w:r>
        <w:r w:rsidR="007E2761">
          <w:rPr>
            <w:noProof/>
            <w:webHidden/>
          </w:rPr>
          <w:fldChar w:fldCharType="begin"/>
        </w:r>
        <w:r w:rsidR="007E2761">
          <w:rPr>
            <w:noProof/>
            <w:webHidden/>
          </w:rPr>
          <w:instrText xml:space="preserve"> PAGEREF _Toc448913614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2"/>
        <w:rPr>
          <w:rFonts w:asciiTheme="minorHAnsi" w:eastAsiaTheme="minorEastAsia" w:hAnsiTheme="minorHAnsi" w:cstheme="minorBidi"/>
          <w:noProof/>
          <w:sz w:val="22"/>
          <w:szCs w:val="22"/>
          <w:lang w:eastAsia="en-GB"/>
        </w:rPr>
      </w:pPr>
      <w:hyperlink w:anchor="_Toc448913615" w:history="1">
        <w:r w:rsidR="007E2761" w:rsidRPr="00C33327">
          <w:rPr>
            <w:rStyle w:val="Hyperlink"/>
            <w:rFonts w:ascii="Arial" w:hAnsi="Arial" w:cs="Arial"/>
            <w:noProof/>
          </w:rPr>
          <w:t>3.</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Specific features of the contract</w:t>
        </w:r>
        <w:r w:rsidR="007E2761">
          <w:rPr>
            <w:noProof/>
            <w:webHidden/>
          </w:rPr>
          <w:tab/>
        </w:r>
        <w:r w:rsidR="007E2761">
          <w:rPr>
            <w:noProof/>
            <w:webHidden/>
          </w:rPr>
          <w:fldChar w:fldCharType="begin"/>
        </w:r>
        <w:r w:rsidR="007E2761">
          <w:rPr>
            <w:noProof/>
            <w:webHidden/>
          </w:rPr>
          <w:instrText xml:space="preserve"> PAGEREF _Toc448913615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3"/>
        <w:rPr>
          <w:rFonts w:asciiTheme="minorHAnsi" w:eastAsiaTheme="minorEastAsia" w:hAnsiTheme="minorHAnsi" w:cstheme="minorBidi"/>
          <w:noProof/>
          <w:sz w:val="22"/>
          <w:szCs w:val="22"/>
          <w:lang w:eastAsia="en-GB"/>
        </w:rPr>
      </w:pPr>
      <w:hyperlink w:anchor="_Toc448913616" w:history="1">
        <w:r w:rsidR="007E2761" w:rsidRPr="00C33327">
          <w:rPr>
            <w:rStyle w:val="Hyperlink"/>
            <w:rFonts w:ascii="Arial" w:hAnsi="Arial" w:cs="Arial"/>
            <w:noProof/>
          </w:rPr>
          <w:t>a)</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Duration of the contract</w:t>
        </w:r>
        <w:r w:rsidR="007E2761">
          <w:rPr>
            <w:noProof/>
            <w:webHidden/>
          </w:rPr>
          <w:tab/>
        </w:r>
        <w:r w:rsidR="007E2761">
          <w:rPr>
            <w:noProof/>
            <w:webHidden/>
          </w:rPr>
          <w:fldChar w:fldCharType="begin"/>
        </w:r>
        <w:r w:rsidR="007E2761">
          <w:rPr>
            <w:noProof/>
            <w:webHidden/>
          </w:rPr>
          <w:instrText xml:space="preserve"> PAGEREF _Toc448913616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3"/>
        <w:rPr>
          <w:rFonts w:asciiTheme="minorHAnsi" w:eastAsiaTheme="minorEastAsia" w:hAnsiTheme="minorHAnsi" w:cstheme="minorBidi"/>
          <w:noProof/>
          <w:sz w:val="22"/>
          <w:szCs w:val="22"/>
          <w:lang w:eastAsia="en-GB"/>
        </w:rPr>
      </w:pPr>
      <w:hyperlink w:anchor="_Toc448913617" w:history="1">
        <w:r w:rsidR="007E2761" w:rsidRPr="00C33327">
          <w:rPr>
            <w:rStyle w:val="Hyperlink"/>
            <w:rFonts w:ascii="Arial" w:hAnsi="Arial" w:cs="Arial"/>
            <w:noProof/>
          </w:rPr>
          <w:t>b)</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Division into lots</w:t>
        </w:r>
        <w:r w:rsidR="007E2761">
          <w:rPr>
            <w:noProof/>
            <w:webHidden/>
          </w:rPr>
          <w:tab/>
        </w:r>
        <w:r w:rsidR="007E2761">
          <w:rPr>
            <w:noProof/>
            <w:webHidden/>
          </w:rPr>
          <w:fldChar w:fldCharType="begin"/>
        </w:r>
        <w:r w:rsidR="007E2761">
          <w:rPr>
            <w:noProof/>
            <w:webHidden/>
          </w:rPr>
          <w:instrText xml:space="preserve"> PAGEREF _Toc448913617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3"/>
        <w:rPr>
          <w:rFonts w:asciiTheme="minorHAnsi" w:eastAsiaTheme="minorEastAsia" w:hAnsiTheme="minorHAnsi" w:cstheme="minorBidi"/>
          <w:noProof/>
          <w:sz w:val="22"/>
          <w:szCs w:val="22"/>
          <w:lang w:eastAsia="en-GB"/>
        </w:rPr>
      </w:pPr>
      <w:hyperlink w:anchor="_Toc448913618" w:history="1">
        <w:r w:rsidR="007E2761" w:rsidRPr="00C33327">
          <w:rPr>
            <w:rStyle w:val="Hyperlink"/>
            <w:rFonts w:ascii="Arial" w:hAnsi="Arial" w:cs="Arial"/>
            <w:noProof/>
          </w:rPr>
          <w:t>c)</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Variants</w:t>
        </w:r>
        <w:r w:rsidR="007E2761">
          <w:rPr>
            <w:noProof/>
            <w:webHidden/>
          </w:rPr>
          <w:tab/>
        </w:r>
        <w:r w:rsidR="007E2761">
          <w:rPr>
            <w:noProof/>
            <w:webHidden/>
          </w:rPr>
          <w:fldChar w:fldCharType="begin"/>
        </w:r>
        <w:r w:rsidR="007E2761">
          <w:rPr>
            <w:noProof/>
            <w:webHidden/>
          </w:rPr>
          <w:instrText xml:space="preserve"> PAGEREF _Toc448913618 \h </w:instrText>
        </w:r>
        <w:r w:rsidR="007E2761">
          <w:rPr>
            <w:noProof/>
            <w:webHidden/>
          </w:rPr>
        </w:r>
        <w:r w:rsidR="007E2761">
          <w:rPr>
            <w:noProof/>
            <w:webHidden/>
          </w:rPr>
          <w:fldChar w:fldCharType="separate"/>
        </w:r>
        <w:r w:rsidR="006A53BD">
          <w:rPr>
            <w:noProof/>
            <w:webHidden/>
          </w:rPr>
          <w:t>3</w:t>
        </w:r>
        <w:r w:rsidR="007E2761">
          <w:rPr>
            <w:noProof/>
            <w:webHidden/>
          </w:rPr>
          <w:fldChar w:fldCharType="end"/>
        </w:r>
      </w:hyperlink>
    </w:p>
    <w:p w:rsidR="007E2761" w:rsidRDefault="002051B5">
      <w:pPr>
        <w:pStyle w:val="TOC1"/>
        <w:rPr>
          <w:rFonts w:asciiTheme="minorHAnsi" w:eastAsiaTheme="minorEastAsia" w:hAnsiTheme="minorHAnsi" w:cstheme="minorBidi"/>
          <w:noProof/>
          <w:sz w:val="22"/>
          <w:szCs w:val="22"/>
          <w:lang w:eastAsia="en-GB"/>
        </w:rPr>
      </w:pPr>
      <w:hyperlink w:anchor="_Toc448913619" w:history="1">
        <w:r w:rsidR="007E2761" w:rsidRPr="00C33327">
          <w:rPr>
            <w:rStyle w:val="Hyperlink"/>
            <w:rFonts w:ascii="Arial" w:hAnsi="Arial" w:cs="Arial"/>
            <w:noProof/>
          </w:rPr>
          <w:t>III.</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Participation in the contract – geographical eligibility</w:t>
        </w:r>
        <w:r w:rsidR="007E2761">
          <w:rPr>
            <w:noProof/>
            <w:webHidden/>
          </w:rPr>
          <w:tab/>
        </w:r>
        <w:r w:rsidR="007E2761">
          <w:rPr>
            <w:noProof/>
            <w:webHidden/>
          </w:rPr>
          <w:fldChar w:fldCharType="begin"/>
        </w:r>
        <w:r w:rsidR="007E2761">
          <w:rPr>
            <w:noProof/>
            <w:webHidden/>
          </w:rPr>
          <w:instrText xml:space="preserve"> PAGEREF _Toc448913619 \h </w:instrText>
        </w:r>
        <w:r w:rsidR="007E2761">
          <w:rPr>
            <w:noProof/>
            <w:webHidden/>
          </w:rPr>
        </w:r>
        <w:r w:rsidR="007E2761">
          <w:rPr>
            <w:noProof/>
            <w:webHidden/>
          </w:rPr>
          <w:fldChar w:fldCharType="separate"/>
        </w:r>
        <w:r w:rsidR="006A53BD">
          <w:rPr>
            <w:noProof/>
            <w:webHidden/>
          </w:rPr>
          <w:t>4</w:t>
        </w:r>
        <w:r w:rsidR="007E2761">
          <w:rPr>
            <w:noProof/>
            <w:webHidden/>
          </w:rPr>
          <w:fldChar w:fldCharType="end"/>
        </w:r>
      </w:hyperlink>
    </w:p>
    <w:p w:rsidR="007E2761" w:rsidRDefault="002051B5">
      <w:pPr>
        <w:pStyle w:val="TOC1"/>
        <w:rPr>
          <w:rFonts w:asciiTheme="minorHAnsi" w:eastAsiaTheme="minorEastAsia" w:hAnsiTheme="minorHAnsi" w:cstheme="minorBidi"/>
          <w:noProof/>
          <w:sz w:val="22"/>
          <w:szCs w:val="22"/>
          <w:lang w:eastAsia="en-GB"/>
        </w:rPr>
      </w:pPr>
      <w:hyperlink w:anchor="_Toc448913620" w:history="1">
        <w:r w:rsidR="007E2761" w:rsidRPr="00C33327">
          <w:rPr>
            <w:rStyle w:val="Hyperlink"/>
            <w:rFonts w:ascii="Arial" w:hAnsi="Arial" w:cs="Arial"/>
            <w:noProof/>
          </w:rPr>
          <w:t>IV.</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Contract award arrangements</w:t>
        </w:r>
        <w:r w:rsidR="007E2761">
          <w:rPr>
            <w:noProof/>
            <w:webHidden/>
          </w:rPr>
          <w:tab/>
        </w:r>
        <w:r w:rsidR="007E2761">
          <w:rPr>
            <w:noProof/>
            <w:webHidden/>
          </w:rPr>
          <w:fldChar w:fldCharType="begin"/>
        </w:r>
        <w:r w:rsidR="007E2761">
          <w:rPr>
            <w:noProof/>
            <w:webHidden/>
          </w:rPr>
          <w:instrText xml:space="preserve"> PAGEREF _Toc448913620 \h </w:instrText>
        </w:r>
        <w:r w:rsidR="007E2761">
          <w:rPr>
            <w:noProof/>
            <w:webHidden/>
          </w:rPr>
        </w:r>
        <w:r w:rsidR="007E2761">
          <w:rPr>
            <w:noProof/>
            <w:webHidden/>
          </w:rPr>
          <w:fldChar w:fldCharType="separate"/>
        </w:r>
        <w:r w:rsidR="006A53BD">
          <w:rPr>
            <w:noProof/>
            <w:webHidden/>
          </w:rPr>
          <w:t>4</w:t>
        </w:r>
        <w:r w:rsidR="007E2761">
          <w:rPr>
            <w:noProof/>
            <w:webHidden/>
          </w:rPr>
          <w:fldChar w:fldCharType="end"/>
        </w:r>
      </w:hyperlink>
    </w:p>
    <w:p w:rsidR="007E2761" w:rsidRDefault="002051B5">
      <w:pPr>
        <w:pStyle w:val="TOC2"/>
        <w:rPr>
          <w:rFonts w:asciiTheme="minorHAnsi" w:eastAsiaTheme="minorEastAsia" w:hAnsiTheme="minorHAnsi" w:cstheme="minorBidi"/>
          <w:noProof/>
          <w:sz w:val="22"/>
          <w:szCs w:val="22"/>
          <w:lang w:eastAsia="en-GB"/>
        </w:rPr>
      </w:pPr>
      <w:hyperlink w:anchor="_Toc448913621" w:history="1">
        <w:r w:rsidR="007E2761" w:rsidRPr="00C33327">
          <w:rPr>
            <w:rStyle w:val="Hyperlink"/>
            <w:rFonts w:ascii="Arial" w:hAnsi="Arial" w:cs="Arial"/>
            <w:noProof/>
          </w:rPr>
          <w:t>1.</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Award arrangements</w:t>
        </w:r>
        <w:r w:rsidR="007E2761">
          <w:rPr>
            <w:noProof/>
            <w:webHidden/>
          </w:rPr>
          <w:tab/>
        </w:r>
        <w:r w:rsidR="007E2761">
          <w:rPr>
            <w:noProof/>
            <w:webHidden/>
          </w:rPr>
          <w:fldChar w:fldCharType="begin"/>
        </w:r>
        <w:r w:rsidR="007E2761">
          <w:rPr>
            <w:noProof/>
            <w:webHidden/>
          </w:rPr>
          <w:instrText xml:space="preserve"> PAGEREF _Toc448913621 \h </w:instrText>
        </w:r>
        <w:r w:rsidR="007E2761">
          <w:rPr>
            <w:noProof/>
            <w:webHidden/>
          </w:rPr>
        </w:r>
        <w:r w:rsidR="007E2761">
          <w:rPr>
            <w:noProof/>
            <w:webHidden/>
          </w:rPr>
          <w:fldChar w:fldCharType="separate"/>
        </w:r>
        <w:r w:rsidR="006A53BD">
          <w:rPr>
            <w:noProof/>
            <w:webHidden/>
          </w:rPr>
          <w:t>4</w:t>
        </w:r>
        <w:r w:rsidR="007E2761">
          <w:rPr>
            <w:noProof/>
            <w:webHidden/>
          </w:rPr>
          <w:fldChar w:fldCharType="end"/>
        </w:r>
      </w:hyperlink>
    </w:p>
    <w:p w:rsidR="007E2761" w:rsidRDefault="002051B5">
      <w:pPr>
        <w:pStyle w:val="TOC2"/>
        <w:rPr>
          <w:rFonts w:asciiTheme="minorHAnsi" w:eastAsiaTheme="minorEastAsia" w:hAnsiTheme="minorHAnsi" w:cstheme="minorBidi"/>
          <w:noProof/>
          <w:sz w:val="22"/>
          <w:szCs w:val="22"/>
          <w:lang w:eastAsia="en-GB"/>
        </w:rPr>
      </w:pPr>
      <w:hyperlink w:anchor="_Toc448913622" w:history="1">
        <w:r w:rsidR="007E2761" w:rsidRPr="00C33327">
          <w:rPr>
            <w:rStyle w:val="Hyperlink"/>
            <w:rFonts w:ascii="Arial" w:hAnsi="Arial" w:cs="Arial"/>
            <w:noProof/>
          </w:rPr>
          <w:t>2.</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Evaluation of tenders</w:t>
        </w:r>
        <w:r w:rsidR="007E2761">
          <w:rPr>
            <w:noProof/>
            <w:webHidden/>
          </w:rPr>
          <w:tab/>
        </w:r>
        <w:r w:rsidR="007E2761">
          <w:rPr>
            <w:noProof/>
            <w:webHidden/>
          </w:rPr>
          <w:fldChar w:fldCharType="begin"/>
        </w:r>
        <w:r w:rsidR="007E2761">
          <w:rPr>
            <w:noProof/>
            <w:webHidden/>
          </w:rPr>
          <w:instrText xml:space="preserve"> PAGEREF _Toc448913622 \h </w:instrText>
        </w:r>
        <w:r w:rsidR="007E2761">
          <w:rPr>
            <w:noProof/>
            <w:webHidden/>
          </w:rPr>
        </w:r>
        <w:r w:rsidR="007E2761">
          <w:rPr>
            <w:noProof/>
            <w:webHidden/>
          </w:rPr>
          <w:fldChar w:fldCharType="separate"/>
        </w:r>
        <w:r w:rsidR="006A53BD">
          <w:rPr>
            <w:noProof/>
            <w:webHidden/>
          </w:rPr>
          <w:t>4</w:t>
        </w:r>
        <w:r w:rsidR="007E2761">
          <w:rPr>
            <w:noProof/>
            <w:webHidden/>
          </w:rPr>
          <w:fldChar w:fldCharType="end"/>
        </w:r>
      </w:hyperlink>
    </w:p>
    <w:p w:rsidR="007E2761" w:rsidRDefault="002051B5">
      <w:pPr>
        <w:pStyle w:val="TOC3"/>
        <w:rPr>
          <w:rFonts w:asciiTheme="minorHAnsi" w:eastAsiaTheme="minorEastAsia" w:hAnsiTheme="minorHAnsi" w:cstheme="minorBidi"/>
          <w:noProof/>
          <w:sz w:val="22"/>
          <w:szCs w:val="22"/>
          <w:lang w:eastAsia="en-GB"/>
        </w:rPr>
      </w:pPr>
      <w:hyperlink w:anchor="_Toc448913623" w:history="1">
        <w:r w:rsidR="007E2761" w:rsidRPr="00C33327">
          <w:rPr>
            <w:rStyle w:val="Hyperlink"/>
            <w:rFonts w:ascii="Arial" w:hAnsi="Arial" w:cs="Arial"/>
            <w:noProof/>
          </w:rPr>
          <w:t>a)</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b/>
            <w:bCs/>
            <w:noProof/>
          </w:rPr>
          <w:t xml:space="preserve">Financial </w:t>
        </w:r>
        <w:r w:rsidR="007E2761" w:rsidRPr="00C33327">
          <w:rPr>
            <w:rStyle w:val="Hyperlink"/>
            <w:rFonts w:ascii="Arial" w:hAnsi="Arial"/>
            <w:noProof/>
          </w:rPr>
          <w:t>evaluation of the tender</w:t>
        </w:r>
        <w:r w:rsidR="007E2761">
          <w:rPr>
            <w:noProof/>
            <w:webHidden/>
          </w:rPr>
          <w:tab/>
        </w:r>
        <w:r w:rsidR="007E2761">
          <w:rPr>
            <w:noProof/>
            <w:webHidden/>
          </w:rPr>
          <w:fldChar w:fldCharType="begin"/>
        </w:r>
        <w:r w:rsidR="007E2761">
          <w:rPr>
            <w:noProof/>
            <w:webHidden/>
          </w:rPr>
          <w:instrText xml:space="preserve"> PAGEREF _Toc448913623 \h </w:instrText>
        </w:r>
        <w:r w:rsidR="007E2761">
          <w:rPr>
            <w:noProof/>
            <w:webHidden/>
          </w:rPr>
        </w:r>
        <w:r w:rsidR="007E2761">
          <w:rPr>
            <w:noProof/>
            <w:webHidden/>
          </w:rPr>
          <w:fldChar w:fldCharType="separate"/>
        </w:r>
        <w:r w:rsidR="006A53BD">
          <w:rPr>
            <w:noProof/>
            <w:webHidden/>
          </w:rPr>
          <w:t>4</w:t>
        </w:r>
        <w:r w:rsidR="007E2761">
          <w:rPr>
            <w:noProof/>
            <w:webHidden/>
          </w:rPr>
          <w:fldChar w:fldCharType="end"/>
        </w:r>
      </w:hyperlink>
    </w:p>
    <w:p w:rsidR="007E2761" w:rsidRDefault="002051B5">
      <w:pPr>
        <w:pStyle w:val="TOC1"/>
        <w:rPr>
          <w:rFonts w:asciiTheme="minorHAnsi" w:eastAsiaTheme="minorEastAsia" w:hAnsiTheme="minorHAnsi" w:cstheme="minorBidi"/>
          <w:noProof/>
          <w:sz w:val="22"/>
          <w:szCs w:val="22"/>
          <w:lang w:eastAsia="en-GB"/>
        </w:rPr>
      </w:pPr>
      <w:hyperlink w:anchor="_Toc448913624" w:history="1">
        <w:r w:rsidR="007E2761" w:rsidRPr="00C33327">
          <w:rPr>
            <w:rStyle w:val="Hyperlink"/>
            <w:rFonts w:ascii="Arial" w:hAnsi="Arial" w:cs="Arial"/>
            <w:noProof/>
          </w:rPr>
          <w:t>V.</w:t>
        </w:r>
        <w:r w:rsidR="007E2761">
          <w:rPr>
            <w:rFonts w:asciiTheme="minorHAnsi" w:eastAsiaTheme="minorEastAsia" w:hAnsiTheme="minorHAnsi" w:cstheme="minorBidi"/>
            <w:noProof/>
            <w:sz w:val="22"/>
            <w:szCs w:val="22"/>
            <w:lang w:eastAsia="en-GB"/>
          </w:rPr>
          <w:tab/>
        </w:r>
        <w:r w:rsidR="007E2761" w:rsidRPr="00C33327">
          <w:rPr>
            <w:rStyle w:val="Hyperlink"/>
            <w:rFonts w:ascii="Arial" w:hAnsi="Arial"/>
            <w:noProof/>
          </w:rPr>
          <w:t>Annexes</w:t>
        </w:r>
        <w:r w:rsidR="007E2761">
          <w:rPr>
            <w:noProof/>
            <w:webHidden/>
          </w:rPr>
          <w:tab/>
        </w:r>
        <w:r w:rsidR="007E2761">
          <w:rPr>
            <w:noProof/>
            <w:webHidden/>
          </w:rPr>
          <w:fldChar w:fldCharType="begin"/>
        </w:r>
        <w:r w:rsidR="007E2761">
          <w:rPr>
            <w:noProof/>
            <w:webHidden/>
          </w:rPr>
          <w:instrText xml:space="preserve"> PAGEREF _Toc448913624 \h </w:instrText>
        </w:r>
        <w:r w:rsidR="007E2761">
          <w:rPr>
            <w:noProof/>
            <w:webHidden/>
          </w:rPr>
        </w:r>
        <w:r w:rsidR="007E2761">
          <w:rPr>
            <w:noProof/>
            <w:webHidden/>
          </w:rPr>
          <w:fldChar w:fldCharType="separate"/>
        </w:r>
        <w:r w:rsidR="006A53BD">
          <w:rPr>
            <w:noProof/>
            <w:webHidden/>
          </w:rPr>
          <w:t>5</w:t>
        </w:r>
        <w:r w:rsidR="007E2761">
          <w:rPr>
            <w:noProof/>
            <w:webHidden/>
          </w:rPr>
          <w:fldChar w:fldCharType="end"/>
        </w:r>
      </w:hyperlink>
    </w:p>
    <w:p w:rsidR="00064525" w:rsidRPr="00BE665A" w:rsidRDefault="00FA1D1A">
      <w:pPr>
        <w:pStyle w:val="TOC1"/>
        <w:rPr>
          <w:rFonts w:ascii="Calibri" w:hAnsi="Calibri" w:cs="Arial"/>
          <w:noProof/>
          <w:sz w:val="22"/>
          <w:szCs w:val="22"/>
        </w:rPr>
      </w:pPr>
      <w:r>
        <w:fldChar w:fldCharType="end"/>
      </w:r>
    </w:p>
    <w:p w:rsidR="00FA1D1A" w:rsidRPr="00207550" w:rsidRDefault="00FA1D1A" w:rsidP="0067688A">
      <w:pPr>
        <w:pStyle w:val="Heading1"/>
        <w:rPr>
          <w:rFonts w:ascii="Arial" w:hAnsi="Arial" w:cs="Arial"/>
        </w:rPr>
      </w:pPr>
      <w:r>
        <w:br w:type="page"/>
      </w:r>
      <w:bookmarkStart w:id="0" w:name="_Toc219622220"/>
      <w:bookmarkStart w:id="1" w:name="_Toc254183161"/>
      <w:bookmarkStart w:id="2" w:name="_Toc337197099"/>
      <w:bookmarkStart w:id="3" w:name="_Toc444612220"/>
      <w:bookmarkStart w:id="4" w:name="_Toc448913611"/>
      <w:bookmarkStart w:id="5" w:name="_Toc101665082"/>
      <w:r>
        <w:rPr>
          <w:rFonts w:ascii="Arial" w:hAnsi="Arial"/>
        </w:rPr>
        <w:lastRenderedPageBreak/>
        <w:t>Contracting authority</w:t>
      </w:r>
      <w:bookmarkEnd w:id="0"/>
      <w:bookmarkEnd w:id="1"/>
      <w:bookmarkEnd w:id="2"/>
      <w:bookmarkEnd w:id="3"/>
      <w:bookmarkEnd w:id="4"/>
    </w:p>
    <w:p w:rsidR="00FA1D1A" w:rsidRPr="00207550" w:rsidRDefault="00FA1D1A" w:rsidP="0067688A">
      <w:pPr>
        <w:spacing w:line="240" w:lineRule="auto"/>
        <w:ind w:left="426" w:firstLine="141"/>
        <w:rPr>
          <w:rFonts w:ascii="Arial" w:hAnsi="Arial" w:cs="Arial"/>
        </w:rPr>
      </w:pPr>
      <w:r>
        <w:rPr>
          <w:rFonts w:ascii="Arial" w:hAnsi="Arial"/>
        </w:rPr>
        <w:t>Council of the European Union</w:t>
      </w:r>
    </w:p>
    <w:p w:rsidR="00FA1D1A" w:rsidRPr="00207550" w:rsidRDefault="00FA1D1A" w:rsidP="0067688A">
      <w:pPr>
        <w:spacing w:line="240" w:lineRule="auto"/>
        <w:ind w:left="567"/>
        <w:rPr>
          <w:rFonts w:ascii="Arial" w:hAnsi="Arial" w:cs="Arial"/>
        </w:rPr>
      </w:pPr>
      <w:r>
        <w:rPr>
          <w:rFonts w:ascii="Arial" w:hAnsi="Arial"/>
        </w:rPr>
        <w:t>General Secretariat</w:t>
      </w:r>
    </w:p>
    <w:p w:rsidR="00FA1D1A" w:rsidRPr="00837961" w:rsidRDefault="00FA1D1A" w:rsidP="0067688A">
      <w:pPr>
        <w:spacing w:line="240" w:lineRule="auto"/>
        <w:ind w:left="567"/>
        <w:rPr>
          <w:rFonts w:ascii="Arial" w:hAnsi="Arial" w:cs="Arial"/>
          <w:lang w:val="fr-BE"/>
        </w:rPr>
      </w:pPr>
      <w:r w:rsidRPr="00837961">
        <w:rPr>
          <w:rFonts w:ascii="Arial" w:hAnsi="Arial"/>
          <w:lang w:val="fr-BE"/>
        </w:rPr>
        <w:t>Rue de la Loi/</w:t>
      </w:r>
      <w:proofErr w:type="spellStart"/>
      <w:r w:rsidRPr="00837961">
        <w:rPr>
          <w:rFonts w:ascii="Arial" w:hAnsi="Arial"/>
          <w:lang w:val="fr-BE"/>
        </w:rPr>
        <w:t>Wetstraat</w:t>
      </w:r>
      <w:proofErr w:type="spellEnd"/>
      <w:r w:rsidRPr="00837961">
        <w:rPr>
          <w:rFonts w:ascii="Arial" w:hAnsi="Arial"/>
          <w:lang w:val="fr-BE"/>
        </w:rPr>
        <w:t xml:space="preserve"> 175</w:t>
      </w:r>
    </w:p>
    <w:p w:rsidR="00FA1D1A" w:rsidRPr="00207550" w:rsidRDefault="00FA1D1A" w:rsidP="0067688A">
      <w:pPr>
        <w:spacing w:line="240" w:lineRule="auto"/>
        <w:ind w:left="426" w:firstLine="141"/>
        <w:rPr>
          <w:rFonts w:ascii="Arial" w:hAnsi="Arial" w:cs="Arial"/>
        </w:rPr>
      </w:pPr>
      <w:r>
        <w:rPr>
          <w:rFonts w:ascii="Arial" w:hAnsi="Arial"/>
        </w:rPr>
        <w:t>1048 Brussels, Belgium</w:t>
      </w:r>
    </w:p>
    <w:p w:rsidR="00FA1D1A" w:rsidRPr="00207550" w:rsidRDefault="00FA1D1A" w:rsidP="0067688A">
      <w:pPr>
        <w:spacing w:line="240" w:lineRule="auto"/>
        <w:ind w:left="426" w:firstLine="141"/>
        <w:rPr>
          <w:rFonts w:ascii="Arial" w:hAnsi="Arial" w:cs="Arial"/>
        </w:rPr>
      </w:pPr>
      <w:r>
        <w:rPr>
          <w:rFonts w:ascii="Arial" w:hAnsi="Arial"/>
        </w:rPr>
        <w:t>(hereinafter referred to as 'the Secretariat')</w:t>
      </w:r>
    </w:p>
    <w:p w:rsidR="00FA1D1A" w:rsidRPr="00837961" w:rsidRDefault="00FA1D1A" w:rsidP="0067688A">
      <w:pPr>
        <w:spacing w:line="240" w:lineRule="auto"/>
        <w:rPr>
          <w:rFonts w:ascii="Arial" w:hAnsi="Arial" w:cs="Arial"/>
        </w:rPr>
      </w:pPr>
    </w:p>
    <w:p w:rsidR="00FA1D1A" w:rsidRPr="00207550" w:rsidRDefault="00FA1D1A" w:rsidP="0067688A">
      <w:pPr>
        <w:pStyle w:val="Heading1"/>
        <w:rPr>
          <w:rFonts w:ascii="Arial" w:hAnsi="Arial" w:cs="Arial"/>
        </w:rPr>
      </w:pPr>
      <w:bookmarkStart w:id="6" w:name="_Toc101665083"/>
      <w:bookmarkStart w:id="7" w:name="_Toc219622221"/>
      <w:bookmarkStart w:id="8" w:name="_Toc254183162"/>
      <w:bookmarkStart w:id="9" w:name="_Toc337197100"/>
      <w:bookmarkStart w:id="10" w:name="_Toc444612221"/>
      <w:bookmarkStart w:id="11" w:name="_Toc448913612"/>
      <w:bookmarkEnd w:id="5"/>
      <w:r>
        <w:rPr>
          <w:rFonts w:ascii="Arial" w:hAnsi="Arial"/>
        </w:rPr>
        <w:t>Object of the Contract</w:t>
      </w:r>
      <w:bookmarkEnd w:id="6"/>
      <w:bookmarkEnd w:id="7"/>
      <w:bookmarkEnd w:id="8"/>
      <w:bookmarkEnd w:id="9"/>
      <w:bookmarkEnd w:id="10"/>
      <w:bookmarkEnd w:id="11"/>
    </w:p>
    <w:p w:rsidR="00FA1D1A" w:rsidRPr="00207550" w:rsidRDefault="00FA1D1A" w:rsidP="0067688A">
      <w:pPr>
        <w:pStyle w:val="Heading2"/>
        <w:rPr>
          <w:rFonts w:ascii="Arial" w:hAnsi="Arial" w:cs="Arial"/>
        </w:rPr>
      </w:pPr>
      <w:bookmarkStart w:id="12" w:name="_Toc219622222"/>
      <w:bookmarkStart w:id="13" w:name="_Toc254183163"/>
      <w:bookmarkStart w:id="14" w:name="_Toc337197101"/>
      <w:bookmarkStart w:id="15" w:name="_Toc444612222"/>
      <w:bookmarkStart w:id="16" w:name="_Toc448913613"/>
      <w:r>
        <w:rPr>
          <w:rFonts w:ascii="Arial" w:hAnsi="Arial"/>
        </w:rPr>
        <w:t>Title of the Contract</w:t>
      </w:r>
      <w:bookmarkEnd w:id="12"/>
      <w:bookmarkEnd w:id="13"/>
      <w:bookmarkEnd w:id="14"/>
      <w:bookmarkEnd w:id="15"/>
      <w:bookmarkEnd w:id="16"/>
    </w:p>
    <w:p w:rsidR="00FA1D1A" w:rsidRPr="00207550" w:rsidRDefault="00FA1D1A" w:rsidP="002051B5">
      <w:pPr>
        <w:spacing w:line="240" w:lineRule="auto"/>
        <w:ind w:left="567"/>
        <w:jc w:val="both"/>
        <w:rPr>
          <w:rFonts w:ascii="Arial" w:hAnsi="Arial" w:cs="Arial"/>
        </w:rPr>
      </w:pPr>
      <w:r>
        <w:rPr>
          <w:rFonts w:ascii="Arial" w:hAnsi="Arial"/>
        </w:rPr>
        <w:t xml:space="preserve">UCA </w:t>
      </w:r>
      <w:r w:rsidR="002051B5">
        <w:rPr>
          <w:rFonts w:ascii="Arial" w:hAnsi="Arial"/>
        </w:rPr>
        <w:t>028</w:t>
      </w:r>
      <w:bookmarkStart w:id="17" w:name="_GoBack"/>
      <w:bookmarkEnd w:id="17"/>
      <w:r>
        <w:rPr>
          <w:rFonts w:ascii="Arial" w:hAnsi="Arial"/>
        </w:rPr>
        <w:t xml:space="preserve">/16 </w:t>
      </w:r>
      <w:r w:rsidR="007E2761">
        <w:rPr>
          <w:rFonts w:ascii="Arial" w:hAnsi="Arial"/>
        </w:rPr>
        <w:t>–</w:t>
      </w:r>
      <w:r>
        <w:rPr>
          <w:rFonts w:ascii="Arial" w:hAnsi="Arial"/>
        </w:rPr>
        <w:t xml:space="preserve"> B-Brussels: Full-service maintenance, breakdown servicing and repair of equipment used for cleaning the façades of the Justus Li</w:t>
      </w:r>
      <w:r w:rsidR="007E2761">
        <w:rPr>
          <w:rFonts w:ascii="Arial" w:hAnsi="Arial"/>
        </w:rPr>
        <w:t>psius building (Lot 1), the Lex </w:t>
      </w:r>
      <w:r>
        <w:rPr>
          <w:rFonts w:ascii="Arial" w:hAnsi="Arial"/>
        </w:rPr>
        <w:t>building (Lot 2) and the buildings of the Committees (Economic and Social Committee and Committee of the Regions) (Lot 3)</w:t>
      </w:r>
    </w:p>
    <w:p w:rsidR="00FA1D1A" w:rsidRPr="00837961" w:rsidRDefault="00FA1D1A" w:rsidP="0067688A">
      <w:pPr>
        <w:spacing w:line="240" w:lineRule="auto"/>
        <w:rPr>
          <w:rFonts w:ascii="Arial" w:hAnsi="Arial" w:cs="Arial"/>
        </w:rPr>
      </w:pPr>
    </w:p>
    <w:p w:rsidR="00FA1D1A" w:rsidRPr="00207550" w:rsidRDefault="00FA1D1A" w:rsidP="0067688A">
      <w:pPr>
        <w:pStyle w:val="Heading2"/>
        <w:rPr>
          <w:rFonts w:ascii="Arial" w:hAnsi="Arial" w:cs="Arial"/>
        </w:rPr>
      </w:pPr>
      <w:bookmarkStart w:id="18" w:name="_Toc219622223"/>
      <w:bookmarkStart w:id="19" w:name="_Toc254183164"/>
      <w:bookmarkStart w:id="20" w:name="_Toc337197102"/>
      <w:bookmarkStart w:id="21" w:name="_Toc444612223"/>
      <w:bookmarkStart w:id="22" w:name="_Toc448913614"/>
      <w:r>
        <w:rPr>
          <w:rFonts w:ascii="Arial" w:hAnsi="Arial"/>
        </w:rPr>
        <w:t>Background</w:t>
      </w:r>
      <w:bookmarkEnd w:id="18"/>
      <w:bookmarkEnd w:id="19"/>
      <w:bookmarkEnd w:id="20"/>
      <w:r>
        <w:rPr>
          <w:rFonts w:ascii="Arial" w:hAnsi="Arial"/>
        </w:rPr>
        <w:t>, object and purpose of the contract</w:t>
      </w:r>
      <w:bookmarkEnd w:id="21"/>
      <w:bookmarkEnd w:id="22"/>
    </w:p>
    <w:p w:rsidR="00064525" w:rsidRPr="00064525" w:rsidRDefault="00064525" w:rsidP="004B200F">
      <w:pPr>
        <w:spacing w:line="240" w:lineRule="auto"/>
        <w:ind w:left="567"/>
        <w:jc w:val="both"/>
        <w:rPr>
          <w:rFonts w:ascii="Arial" w:hAnsi="Arial" w:cs="Arial"/>
        </w:rPr>
      </w:pPr>
      <w:r>
        <w:rPr>
          <w:rFonts w:ascii="Arial" w:hAnsi="Arial"/>
        </w:rPr>
        <w:t>This contract concerns the preventive, corrective and full-service maintenance, and work performed on cost-plus basis, in respect of the systems (see Appendix 1) for cleaning the façades of two buildings of the General Secretariat of the Council of the European Union (hereinafter referred to as 'the GSC') and of the buildings of the European Economic and Social Committee and the Committee of the Regions in Brussels (hereinafter referred to as 'the Committees'):</w:t>
      </w:r>
    </w:p>
    <w:p w:rsidR="00064525" w:rsidRPr="00837961" w:rsidRDefault="00064525" w:rsidP="00064525">
      <w:pPr>
        <w:spacing w:line="240" w:lineRule="auto"/>
        <w:jc w:val="both"/>
        <w:rPr>
          <w:rFonts w:ascii="Arial" w:hAnsi="Arial" w:cs="Arial"/>
        </w:rPr>
      </w:pPr>
    </w:p>
    <w:p w:rsidR="00064525" w:rsidRPr="00064525" w:rsidRDefault="0063483E" w:rsidP="007E2761">
      <w:pPr>
        <w:numPr>
          <w:ilvl w:val="0"/>
          <w:numId w:val="28"/>
        </w:numPr>
        <w:spacing w:line="240" w:lineRule="auto"/>
        <w:ind w:left="1134" w:hanging="207"/>
        <w:jc w:val="both"/>
        <w:rPr>
          <w:rFonts w:ascii="Arial" w:hAnsi="Arial" w:cs="Arial"/>
        </w:rPr>
      </w:pPr>
      <w:r>
        <w:rPr>
          <w:rFonts w:ascii="Arial" w:hAnsi="Arial"/>
        </w:rPr>
        <w:t>Lot 1: Justus Lipsius building of the GSC – situ</w:t>
      </w:r>
      <w:r w:rsidR="007E2761">
        <w:rPr>
          <w:rFonts w:ascii="Arial" w:hAnsi="Arial"/>
        </w:rPr>
        <w:t xml:space="preserve">ated at Rue de la </w:t>
      </w:r>
      <w:proofErr w:type="spellStart"/>
      <w:r w:rsidR="007E2761">
        <w:rPr>
          <w:rFonts w:ascii="Arial" w:hAnsi="Arial"/>
        </w:rPr>
        <w:t>Loi</w:t>
      </w:r>
      <w:proofErr w:type="spellEnd"/>
      <w:r w:rsidR="007E2761">
        <w:rPr>
          <w:rFonts w:ascii="Arial" w:hAnsi="Arial"/>
        </w:rPr>
        <w:t xml:space="preserve"> 175, 1040 </w:t>
      </w:r>
      <w:r>
        <w:rPr>
          <w:rFonts w:ascii="Arial" w:hAnsi="Arial"/>
        </w:rPr>
        <w:t>Brussels</w:t>
      </w:r>
    </w:p>
    <w:p w:rsidR="00064525" w:rsidRPr="00064525" w:rsidRDefault="0063483E" w:rsidP="0063483E">
      <w:pPr>
        <w:numPr>
          <w:ilvl w:val="0"/>
          <w:numId w:val="28"/>
        </w:numPr>
        <w:spacing w:line="240" w:lineRule="auto"/>
        <w:jc w:val="both"/>
        <w:rPr>
          <w:rFonts w:ascii="Arial" w:hAnsi="Arial" w:cs="Arial"/>
        </w:rPr>
      </w:pPr>
      <w:r>
        <w:rPr>
          <w:rFonts w:ascii="Arial" w:hAnsi="Arial"/>
        </w:rPr>
        <w:t xml:space="preserve">Lot 2: Lex building of the GSC – situated at Rue de la </w:t>
      </w:r>
      <w:proofErr w:type="spellStart"/>
      <w:r>
        <w:rPr>
          <w:rFonts w:ascii="Arial" w:hAnsi="Arial"/>
        </w:rPr>
        <w:t>Loi</w:t>
      </w:r>
      <w:proofErr w:type="spellEnd"/>
      <w:r>
        <w:rPr>
          <w:rFonts w:ascii="Arial" w:hAnsi="Arial"/>
        </w:rPr>
        <w:t xml:space="preserve"> 145, 1040 Brussels</w:t>
      </w:r>
    </w:p>
    <w:p w:rsidR="00FA1D1A" w:rsidRPr="00064525" w:rsidRDefault="0063483E" w:rsidP="0063483E">
      <w:pPr>
        <w:numPr>
          <w:ilvl w:val="0"/>
          <w:numId w:val="28"/>
        </w:numPr>
        <w:spacing w:line="240" w:lineRule="auto"/>
        <w:jc w:val="both"/>
        <w:rPr>
          <w:rFonts w:ascii="Arial" w:hAnsi="Arial" w:cs="Arial"/>
        </w:rPr>
      </w:pPr>
      <w:r>
        <w:rPr>
          <w:rFonts w:ascii="Arial" w:hAnsi="Arial"/>
        </w:rPr>
        <w:t>Lot 3: the buildings of the Committees</w:t>
      </w:r>
    </w:p>
    <w:p w:rsidR="00FA1D1A" w:rsidRPr="00207550" w:rsidRDefault="00FA1D1A" w:rsidP="00E5109A">
      <w:pPr>
        <w:pStyle w:val="Heading2"/>
        <w:rPr>
          <w:rFonts w:ascii="Arial" w:hAnsi="Arial" w:cs="Arial"/>
        </w:rPr>
      </w:pPr>
      <w:bookmarkStart w:id="23" w:name="_Toc254183168"/>
      <w:bookmarkStart w:id="24" w:name="_Toc337197106"/>
      <w:bookmarkStart w:id="25" w:name="_Toc444612224"/>
      <w:bookmarkStart w:id="26" w:name="_Toc448913615"/>
      <w:r>
        <w:rPr>
          <w:rFonts w:ascii="Arial" w:hAnsi="Arial"/>
        </w:rPr>
        <w:t>Specific features of the contract</w:t>
      </w:r>
      <w:bookmarkEnd w:id="23"/>
      <w:bookmarkEnd w:id="24"/>
      <w:bookmarkEnd w:id="25"/>
      <w:bookmarkEnd w:id="26"/>
    </w:p>
    <w:p w:rsidR="00FA1D1A" w:rsidRPr="00207550" w:rsidRDefault="00FA1D1A" w:rsidP="00E5109A">
      <w:pPr>
        <w:pStyle w:val="Heading3"/>
        <w:rPr>
          <w:rFonts w:ascii="Arial" w:hAnsi="Arial" w:cs="Arial"/>
        </w:rPr>
      </w:pPr>
      <w:bookmarkStart w:id="27" w:name="_Toc254183169"/>
      <w:bookmarkStart w:id="28" w:name="_Toc337197107"/>
      <w:bookmarkStart w:id="29" w:name="_Toc444612225"/>
      <w:bookmarkStart w:id="30" w:name="_Toc448913616"/>
      <w:r>
        <w:rPr>
          <w:rFonts w:ascii="Arial" w:hAnsi="Arial"/>
        </w:rPr>
        <w:t xml:space="preserve">Duration of the </w:t>
      </w:r>
      <w:r w:rsidR="00837961">
        <w:rPr>
          <w:rFonts w:ascii="Arial" w:hAnsi="Arial"/>
        </w:rPr>
        <w:t>c</w:t>
      </w:r>
      <w:r>
        <w:rPr>
          <w:rFonts w:ascii="Arial" w:hAnsi="Arial"/>
        </w:rPr>
        <w:t>ontract</w:t>
      </w:r>
      <w:bookmarkEnd w:id="27"/>
      <w:bookmarkEnd w:id="28"/>
      <w:bookmarkEnd w:id="29"/>
      <w:bookmarkEnd w:id="30"/>
    </w:p>
    <w:p w:rsidR="00FA1D1A" w:rsidRPr="00207550" w:rsidRDefault="00FA1D1A" w:rsidP="0063483E">
      <w:pPr>
        <w:spacing w:line="240" w:lineRule="auto"/>
        <w:ind w:firstLine="567"/>
        <w:jc w:val="both"/>
        <w:rPr>
          <w:rFonts w:ascii="Arial" w:hAnsi="Arial" w:cs="Arial"/>
        </w:rPr>
      </w:pPr>
      <w:r>
        <w:rPr>
          <w:rFonts w:ascii="Arial" w:hAnsi="Arial"/>
        </w:rPr>
        <w:t>Initial duration 4 years, with the possibility of extension for 1 one-year period.</w:t>
      </w:r>
    </w:p>
    <w:p w:rsidR="00FA1D1A" w:rsidRPr="00837961" w:rsidRDefault="00FA1D1A" w:rsidP="00E5109A">
      <w:pPr>
        <w:spacing w:line="240" w:lineRule="auto"/>
        <w:jc w:val="both"/>
        <w:rPr>
          <w:rFonts w:ascii="Arial" w:hAnsi="Arial" w:cs="Arial"/>
        </w:rPr>
      </w:pPr>
    </w:p>
    <w:p w:rsidR="00FA1D1A" w:rsidRPr="00207550" w:rsidRDefault="00FA1D1A" w:rsidP="00E5109A">
      <w:pPr>
        <w:pStyle w:val="Heading3"/>
        <w:rPr>
          <w:rFonts w:ascii="Arial" w:hAnsi="Arial" w:cs="Arial"/>
        </w:rPr>
      </w:pPr>
      <w:bookmarkStart w:id="31" w:name="_Toc254183170"/>
      <w:bookmarkStart w:id="32" w:name="_Toc337197108"/>
      <w:bookmarkStart w:id="33" w:name="_Toc444612226"/>
      <w:bookmarkStart w:id="34" w:name="_Toc448913617"/>
      <w:r>
        <w:rPr>
          <w:rFonts w:ascii="Arial" w:hAnsi="Arial"/>
        </w:rPr>
        <w:t>Division into lots</w:t>
      </w:r>
      <w:bookmarkEnd w:id="31"/>
      <w:bookmarkEnd w:id="32"/>
      <w:bookmarkEnd w:id="33"/>
      <w:bookmarkEnd w:id="34"/>
    </w:p>
    <w:p w:rsidR="00FA1D1A" w:rsidRPr="00207550" w:rsidRDefault="00FA1D1A" w:rsidP="00E5109A">
      <w:pPr>
        <w:spacing w:line="240" w:lineRule="auto"/>
        <w:ind w:left="567"/>
        <w:jc w:val="both"/>
        <w:rPr>
          <w:rFonts w:ascii="Arial" w:hAnsi="Arial" w:cs="Arial"/>
        </w:rPr>
      </w:pPr>
      <w:r>
        <w:rPr>
          <w:rFonts w:ascii="Arial" w:hAnsi="Arial"/>
        </w:rPr>
        <w:t>The contract consists of 3 lots, the object of each of th</w:t>
      </w:r>
      <w:r w:rsidR="007E2761">
        <w:rPr>
          <w:rFonts w:ascii="Arial" w:hAnsi="Arial"/>
        </w:rPr>
        <w:t>e lots being described in point </w:t>
      </w:r>
      <w:r>
        <w:rPr>
          <w:rFonts w:ascii="Arial" w:hAnsi="Arial"/>
        </w:rPr>
        <w:t>2 above.</w:t>
      </w:r>
    </w:p>
    <w:p w:rsidR="00B03970" w:rsidRPr="00837961" w:rsidRDefault="00B03970" w:rsidP="00E5109A">
      <w:pPr>
        <w:spacing w:line="240" w:lineRule="auto"/>
        <w:ind w:left="567"/>
        <w:jc w:val="both"/>
        <w:rPr>
          <w:rFonts w:ascii="Arial" w:hAnsi="Arial" w:cs="Arial"/>
        </w:rPr>
      </w:pPr>
    </w:p>
    <w:p w:rsidR="006A53BD" w:rsidRDefault="00FA1D1A" w:rsidP="006A53BD">
      <w:pPr>
        <w:spacing w:line="240" w:lineRule="auto"/>
        <w:ind w:left="567"/>
        <w:jc w:val="both"/>
        <w:rPr>
          <w:rFonts w:ascii="Arial" w:hAnsi="Arial"/>
        </w:rPr>
      </w:pPr>
      <w:r>
        <w:rPr>
          <w:rFonts w:ascii="Arial" w:hAnsi="Arial"/>
        </w:rPr>
        <w:t>Tenderers may submit a tender for one or several lots and must indicate the relevant lot(s) clearly. Lots may be awarded to different tenderers.</w:t>
      </w:r>
      <w:r w:rsidR="006A53BD">
        <w:rPr>
          <w:rFonts w:ascii="Arial" w:hAnsi="Arial"/>
        </w:rPr>
        <w:t xml:space="preserve"> </w:t>
      </w:r>
    </w:p>
    <w:p w:rsidR="00FA1D1A" w:rsidRPr="00207550" w:rsidRDefault="00FA1D1A" w:rsidP="006A53BD">
      <w:pPr>
        <w:spacing w:line="240" w:lineRule="auto"/>
        <w:ind w:left="567"/>
        <w:jc w:val="both"/>
        <w:rPr>
          <w:rFonts w:ascii="Arial" w:hAnsi="Arial" w:cs="Arial"/>
        </w:rPr>
      </w:pPr>
    </w:p>
    <w:p w:rsidR="00FA1D1A" w:rsidRPr="00207550" w:rsidRDefault="00FA1D1A" w:rsidP="00E5109A">
      <w:pPr>
        <w:spacing w:line="240" w:lineRule="auto"/>
        <w:ind w:left="567"/>
        <w:jc w:val="both"/>
        <w:rPr>
          <w:rFonts w:ascii="Arial" w:hAnsi="Arial" w:cs="Arial"/>
        </w:rPr>
      </w:pPr>
      <w:r>
        <w:rPr>
          <w:rFonts w:ascii="Arial" w:hAnsi="Arial"/>
        </w:rPr>
        <w:t>A separate tender must be submitted for each lot and the relevant lot must be indicated clearly. Each lot is indivisible. Partial tenders shall be considered inadmissible and shall be eliminated.</w:t>
      </w:r>
    </w:p>
    <w:p w:rsidR="00FA1D1A" w:rsidRPr="00837961" w:rsidRDefault="00FA1D1A" w:rsidP="00E5109A">
      <w:pPr>
        <w:spacing w:line="240" w:lineRule="auto"/>
        <w:jc w:val="both"/>
        <w:rPr>
          <w:rFonts w:ascii="Arial" w:hAnsi="Arial" w:cs="Arial"/>
        </w:rPr>
      </w:pPr>
    </w:p>
    <w:p w:rsidR="00FA1D1A" w:rsidRPr="00207550" w:rsidRDefault="00FA1D1A" w:rsidP="00E5109A">
      <w:pPr>
        <w:pStyle w:val="Heading3"/>
        <w:rPr>
          <w:rFonts w:ascii="Arial" w:hAnsi="Arial" w:cs="Arial"/>
        </w:rPr>
      </w:pPr>
      <w:bookmarkStart w:id="35" w:name="_Toc254183171"/>
      <w:bookmarkStart w:id="36" w:name="_Toc337197109"/>
      <w:bookmarkStart w:id="37" w:name="_Toc444612227"/>
      <w:bookmarkStart w:id="38" w:name="_Toc448913618"/>
      <w:r>
        <w:rPr>
          <w:rFonts w:ascii="Arial" w:hAnsi="Arial"/>
        </w:rPr>
        <w:t>Variants</w:t>
      </w:r>
      <w:bookmarkEnd w:id="35"/>
      <w:bookmarkEnd w:id="36"/>
      <w:bookmarkEnd w:id="37"/>
      <w:bookmarkEnd w:id="38"/>
    </w:p>
    <w:p w:rsidR="00FA1D1A" w:rsidRPr="00207550" w:rsidRDefault="00FA1D1A" w:rsidP="00E5109A">
      <w:pPr>
        <w:spacing w:line="240" w:lineRule="auto"/>
        <w:ind w:left="567"/>
        <w:jc w:val="both"/>
        <w:rPr>
          <w:rFonts w:ascii="Arial" w:hAnsi="Arial" w:cs="Arial"/>
        </w:rPr>
      </w:pPr>
      <w:r>
        <w:rPr>
          <w:rFonts w:ascii="Arial" w:hAnsi="Arial"/>
        </w:rPr>
        <w:t>Variants shall not be permitted. Variants proposed by tenderers shall not be considered.</w:t>
      </w:r>
    </w:p>
    <w:p w:rsidR="00FA1D1A" w:rsidRPr="00837961" w:rsidRDefault="00FA1D1A" w:rsidP="00E5109A">
      <w:pPr>
        <w:spacing w:line="240" w:lineRule="auto"/>
        <w:ind w:left="567"/>
        <w:jc w:val="both"/>
        <w:rPr>
          <w:rFonts w:ascii="Arial" w:hAnsi="Arial" w:cs="Arial"/>
        </w:rPr>
      </w:pPr>
    </w:p>
    <w:p w:rsidR="00FA1D1A" w:rsidRPr="00207550" w:rsidRDefault="00FA1D1A" w:rsidP="007E2761">
      <w:pPr>
        <w:pStyle w:val="Heading1"/>
        <w:rPr>
          <w:rFonts w:ascii="Arial" w:hAnsi="Arial" w:cs="Arial"/>
        </w:rPr>
      </w:pPr>
      <w:bookmarkStart w:id="39" w:name="_Toc254183172"/>
      <w:bookmarkStart w:id="40" w:name="_Toc337197110"/>
      <w:bookmarkStart w:id="41" w:name="_Toc444612228"/>
      <w:bookmarkStart w:id="42" w:name="_Toc448913619"/>
      <w:r>
        <w:rPr>
          <w:rFonts w:ascii="Arial" w:hAnsi="Arial"/>
        </w:rPr>
        <w:t xml:space="preserve">Participation in the contract </w:t>
      </w:r>
      <w:r w:rsidR="007E2761">
        <w:rPr>
          <w:rFonts w:ascii="Arial" w:hAnsi="Arial"/>
        </w:rPr>
        <w:t>–</w:t>
      </w:r>
      <w:r>
        <w:rPr>
          <w:rFonts w:ascii="Arial" w:hAnsi="Arial"/>
        </w:rPr>
        <w:t xml:space="preserve"> geographical eligibility</w:t>
      </w:r>
      <w:bookmarkEnd w:id="39"/>
      <w:bookmarkEnd w:id="40"/>
      <w:bookmarkEnd w:id="41"/>
      <w:bookmarkEnd w:id="42"/>
    </w:p>
    <w:p w:rsidR="00FA1D1A" w:rsidRPr="00207550" w:rsidRDefault="00FA1D1A" w:rsidP="00E5109A">
      <w:pPr>
        <w:spacing w:line="240" w:lineRule="auto"/>
        <w:ind w:left="567"/>
        <w:jc w:val="both"/>
        <w:rPr>
          <w:rFonts w:ascii="Arial" w:hAnsi="Arial" w:cs="Arial"/>
        </w:rPr>
      </w:pPr>
      <w:r>
        <w:rPr>
          <w:rFonts w:ascii="Arial" w:hAnsi="Arial"/>
        </w:rPr>
        <w:t xml:space="preserve">Tenderers must indicate in which State they have their headquarters or domicile and must present the supporting evidence normally acceptable under their own law. Tenderers not having their headquarters in an EU member state, but having offices or decentralised structures in these member states, may indicate the required information for these offices or structures. </w:t>
      </w:r>
      <w:r>
        <w:t>In order to be mentioned, these structures must be legal</w:t>
      </w:r>
      <w:bookmarkStart w:id="43" w:name="_Toc219622227"/>
      <w:bookmarkStart w:id="44" w:name="_Toc254183173"/>
      <w:r>
        <w:t xml:space="preserve"> entities.</w:t>
      </w:r>
    </w:p>
    <w:p w:rsidR="00FA1D1A" w:rsidRPr="00207550" w:rsidRDefault="00FA1D1A" w:rsidP="00E5109A">
      <w:pPr>
        <w:pStyle w:val="Heading1"/>
        <w:jc w:val="both"/>
        <w:rPr>
          <w:rFonts w:ascii="Arial" w:hAnsi="Arial" w:cs="Arial"/>
        </w:rPr>
      </w:pPr>
      <w:bookmarkStart w:id="45" w:name="_Toc337197111"/>
      <w:bookmarkStart w:id="46" w:name="_Toc444612229"/>
      <w:bookmarkStart w:id="47" w:name="_Toc448913620"/>
      <w:r>
        <w:rPr>
          <w:rFonts w:ascii="Arial" w:hAnsi="Arial"/>
        </w:rPr>
        <w:t>Contract award arrangements</w:t>
      </w:r>
      <w:bookmarkEnd w:id="43"/>
      <w:bookmarkEnd w:id="44"/>
      <w:bookmarkEnd w:id="45"/>
      <w:bookmarkEnd w:id="46"/>
      <w:bookmarkEnd w:id="47"/>
    </w:p>
    <w:p w:rsidR="00FA1D1A" w:rsidRPr="00207550" w:rsidRDefault="00FA1D1A" w:rsidP="00E5109A">
      <w:pPr>
        <w:pStyle w:val="Heading2"/>
        <w:rPr>
          <w:rFonts w:ascii="Arial" w:hAnsi="Arial" w:cs="Arial"/>
        </w:rPr>
      </w:pPr>
      <w:bookmarkStart w:id="48" w:name="_Toc254183174"/>
      <w:bookmarkStart w:id="49" w:name="_Toc337197112"/>
      <w:bookmarkStart w:id="50" w:name="_Toc444612230"/>
      <w:bookmarkStart w:id="51" w:name="_Toc448913621"/>
      <w:r>
        <w:rPr>
          <w:rFonts w:ascii="Arial" w:hAnsi="Arial"/>
        </w:rPr>
        <w:t>Award arrangements</w:t>
      </w:r>
      <w:bookmarkEnd w:id="48"/>
      <w:bookmarkEnd w:id="49"/>
      <w:bookmarkEnd w:id="50"/>
      <w:bookmarkEnd w:id="51"/>
    </w:p>
    <w:p w:rsidR="00FA1D1A" w:rsidRPr="00207550" w:rsidRDefault="00FA1D1A" w:rsidP="00E5109A">
      <w:pPr>
        <w:spacing w:line="240" w:lineRule="auto"/>
        <w:ind w:left="567"/>
        <w:jc w:val="both"/>
        <w:rPr>
          <w:rFonts w:ascii="Arial" w:hAnsi="Arial" w:cs="Arial"/>
        </w:rPr>
      </w:pPr>
      <w:r>
        <w:rPr>
          <w:rFonts w:ascii="Arial" w:hAnsi="Arial"/>
        </w:rPr>
        <w:t>The contract shall be awarded lot by lot under the automatic award procedure from among those tenders which are in order and which satisfy the conditions laid down.</w:t>
      </w:r>
    </w:p>
    <w:p w:rsidR="00FA1D1A" w:rsidRPr="00837961" w:rsidRDefault="00FA1D1A" w:rsidP="00E5109A">
      <w:pPr>
        <w:spacing w:line="240" w:lineRule="auto"/>
        <w:jc w:val="both"/>
        <w:rPr>
          <w:rFonts w:ascii="Arial" w:hAnsi="Arial" w:cs="Arial"/>
        </w:rPr>
      </w:pPr>
    </w:p>
    <w:p w:rsidR="00FA1D1A" w:rsidRPr="00207550" w:rsidRDefault="00FA1D1A" w:rsidP="00E5109A">
      <w:pPr>
        <w:pStyle w:val="Heading2"/>
        <w:rPr>
          <w:rFonts w:ascii="Arial" w:hAnsi="Arial" w:cs="Arial"/>
        </w:rPr>
      </w:pPr>
      <w:bookmarkStart w:id="52" w:name="_Toc254183175"/>
      <w:bookmarkStart w:id="53" w:name="_Toc337197113"/>
      <w:bookmarkStart w:id="54" w:name="_Toc444612231"/>
      <w:bookmarkStart w:id="55" w:name="_Toc448913622"/>
      <w:r>
        <w:rPr>
          <w:rFonts w:ascii="Arial" w:hAnsi="Arial"/>
        </w:rPr>
        <w:t>Evaluation of tenders</w:t>
      </w:r>
      <w:bookmarkEnd w:id="52"/>
      <w:bookmarkEnd w:id="53"/>
      <w:bookmarkEnd w:id="54"/>
      <w:bookmarkEnd w:id="55"/>
    </w:p>
    <w:p w:rsidR="00FA1D1A" w:rsidRPr="00207550" w:rsidRDefault="00FA1D1A" w:rsidP="00E5109A">
      <w:pPr>
        <w:spacing w:line="240" w:lineRule="auto"/>
        <w:ind w:left="567"/>
        <w:jc w:val="both"/>
        <w:rPr>
          <w:rFonts w:ascii="Arial" w:hAnsi="Arial" w:cs="Arial"/>
        </w:rPr>
      </w:pPr>
      <w:r>
        <w:rPr>
          <w:rFonts w:ascii="Arial" w:hAnsi="Arial"/>
        </w:rPr>
        <w:t>Only those envelopes submitted within the deadlines set for submission of tenders and compliant with the submission requirements (see Invitation to tender) shall be opened. Non-compliant tenders shall be rejected. Tenders shall then be evaluated for compliance with the mandatory requirements. Failure to meet all mandatory requirements shall result in automatic rejection of the tender without further consideration.</w:t>
      </w:r>
    </w:p>
    <w:p w:rsidR="00FA1D1A" w:rsidRPr="00837961" w:rsidRDefault="00FA1D1A" w:rsidP="00E5109A">
      <w:pPr>
        <w:spacing w:line="240" w:lineRule="auto"/>
        <w:jc w:val="both"/>
        <w:rPr>
          <w:rFonts w:ascii="Arial" w:hAnsi="Arial" w:cs="Arial"/>
        </w:rPr>
      </w:pPr>
    </w:p>
    <w:p w:rsidR="00FA1D1A" w:rsidRPr="00207550" w:rsidRDefault="00FA1D1A" w:rsidP="00F76F17">
      <w:pPr>
        <w:spacing w:line="240" w:lineRule="auto"/>
        <w:ind w:left="567"/>
        <w:jc w:val="both"/>
        <w:rPr>
          <w:rFonts w:ascii="Arial" w:hAnsi="Arial" w:cs="Arial"/>
        </w:rPr>
      </w:pPr>
      <w:r>
        <w:rPr>
          <w:rFonts w:ascii="Arial" w:hAnsi="Arial"/>
        </w:rPr>
        <w:t>The contract shall be awarded to the tender which, while being in order and satisfying the conditions laid down, quotes the lowest price.</w:t>
      </w:r>
    </w:p>
    <w:p w:rsidR="00FA1D1A" w:rsidRPr="00837961" w:rsidRDefault="00FA1D1A" w:rsidP="00E5109A">
      <w:pPr>
        <w:spacing w:line="240" w:lineRule="auto"/>
        <w:jc w:val="both"/>
        <w:rPr>
          <w:rFonts w:ascii="Arial" w:hAnsi="Arial" w:cs="Arial"/>
        </w:rPr>
      </w:pPr>
    </w:p>
    <w:p w:rsidR="0021724C" w:rsidRPr="00207550" w:rsidRDefault="0021724C" w:rsidP="0067688A">
      <w:pPr>
        <w:pStyle w:val="Heading3"/>
        <w:jc w:val="left"/>
        <w:rPr>
          <w:rFonts w:ascii="Arial" w:hAnsi="Arial" w:cs="Arial"/>
        </w:rPr>
      </w:pPr>
      <w:bookmarkStart w:id="56" w:name="_Toc444612232"/>
      <w:bookmarkStart w:id="57" w:name="_Toc448913623"/>
      <w:r>
        <w:rPr>
          <w:rFonts w:ascii="Arial" w:hAnsi="Arial"/>
          <w:b/>
          <w:bCs/>
        </w:rPr>
        <w:t xml:space="preserve">Financial </w:t>
      </w:r>
      <w:r>
        <w:rPr>
          <w:rFonts w:ascii="Arial" w:hAnsi="Arial"/>
        </w:rPr>
        <w:t>evaluation of the tender</w:t>
      </w:r>
      <w:bookmarkEnd w:id="56"/>
      <w:bookmarkEnd w:id="57"/>
    </w:p>
    <w:p w:rsidR="0021724C" w:rsidRPr="00207550" w:rsidRDefault="00F76F17" w:rsidP="00F76F17">
      <w:pPr>
        <w:spacing w:line="240" w:lineRule="auto"/>
        <w:ind w:left="567"/>
        <w:jc w:val="both"/>
        <w:rPr>
          <w:rFonts w:ascii="Arial" w:hAnsi="Arial" w:cs="Arial"/>
          <w:szCs w:val="24"/>
        </w:rPr>
      </w:pPr>
      <w:r>
        <w:rPr>
          <w:rFonts w:ascii="Arial" w:hAnsi="Arial"/>
          <w:szCs w:val="24"/>
        </w:rPr>
        <w:t>For each lot, the amount considered for the financial evaluation shall be the amount resulting from the financial tender form (Prices and financial conditions — Annex 3 to the tender specifications), which defines how the amount of the tender for the respective lot is calculated.</w:t>
      </w:r>
    </w:p>
    <w:p w:rsidR="0021724C" w:rsidRPr="00207550" w:rsidRDefault="0021724C" w:rsidP="006A53BD">
      <w:pPr>
        <w:spacing w:line="240" w:lineRule="auto"/>
        <w:ind w:left="567"/>
        <w:jc w:val="both"/>
        <w:rPr>
          <w:rFonts w:ascii="Arial" w:hAnsi="Arial" w:cs="Arial"/>
        </w:rPr>
      </w:pPr>
      <w:bookmarkStart w:id="58" w:name="ControlPages"/>
      <w:bookmarkEnd w:id="58"/>
    </w:p>
    <w:p w:rsidR="0021724C" w:rsidRPr="00207550" w:rsidRDefault="0021724C" w:rsidP="0067688A">
      <w:pPr>
        <w:tabs>
          <w:tab w:val="left" w:pos="851"/>
        </w:tabs>
        <w:spacing w:line="240" w:lineRule="auto"/>
        <w:ind w:left="567"/>
        <w:rPr>
          <w:rFonts w:ascii="Arial" w:hAnsi="Arial" w:cs="Arial"/>
          <w:b/>
          <w:bCs/>
        </w:rPr>
      </w:pPr>
      <w:r>
        <w:rPr>
          <w:rFonts w:ascii="Arial" w:hAnsi="Arial"/>
          <w:b/>
          <w:bCs/>
        </w:rPr>
        <w:t>Elements used in the evaluation:</w:t>
      </w:r>
    </w:p>
    <w:p w:rsidR="0021724C" w:rsidRPr="00837961" w:rsidRDefault="0021724C" w:rsidP="0067688A">
      <w:pPr>
        <w:tabs>
          <w:tab w:val="left" w:pos="851"/>
        </w:tabs>
        <w:spacing w:line="240" w:lineRule="auto"/>
        <w:ind w:left="360"/>
        <w:rPr>
          <w:rFonts w:ascii="Arial" w:hAnsi="Arial" w:cs="Arial"/>
        </w:rPr>
      </w:pPr>
    </w:p>
    <w:p w:rsidR="0021724C" w:rsidRPr="00E5109A" w:rsidRDefault="0021724C" w:rsidP="00E5109A">
      <w:pPr>
        <w:pStyle w:val="ListParagraph"/>
        <w:numPr>
          <w:ilvl w:val="0"/>
          <w:numId w:val="27"/>
        </w:numPr>
        <w:tabs>
          <w:tab w:val="left" w:pos="851"/>
        </w:tabs>
        <w:spacing w:line="240" w:lineRule="auto"/>
        <w:rPr>
          <w:rFonts w:ascii="Arial" w:hAnsi="Arial" w:cs="Arial"/>
        </w:rPr>
      </w:pPr>
      <w:r>
        <w:rPr>
          <w:rFonts w:ascii="Arial" w:hAnsi="Arial"/>
          <w:szCs w:val="24"/>
        </w:rPr>
        <w:t>A completed and signed price and financial conditions schedule (Annex 3 to the tendering specifications).</w:t>
      </w:r>
    </w:p>
    <w:p w:rsidR="0021724C" w:rsidRPr="00837961" w:rsidRDefault="0021724C" w:rsidP="0067688A">
      <w:pPr>
        <w:tabs>
          <w:tab w:val="left" w:pos="851"/>
        </w:tabs>
        <w:spacing w:line="240" w:lineRule="auto"/>
        <w:ind w:left="360"/>
        <w:rPr>
          <w:rFonts w:ascii="Arial" w:hAnsi="Arial" w:cs="Arial"/>
        </w:rPr>
      </w:pPr>
    </w:p>
    <w:p w:rsidR="0021724C" w:rsidRPr="00207550" w:rsidRDefault="0021724C" w:rsidP="00E5109A">
      <w:pPr>
        <w:spacing w:line="240" w:lineRule="auto"/>
        <w:ind w:left="567"/>
        <w:jc w:val="both"/>
        <w:rPr>
          <w:rFonts w:ascii="Arial" w:hAnsi="Arial" w:cs="Arial"/>
        </w:rPr>
      </w:pPr>
      <w:r>
        <w:rPr>
          <w:rFonts w:ascii="Arial" w:hAnsi="Arial"/>
        </w:rPr>
        <w:t xml:space="preserve">The </w:t>
      </w:r>
      <w:r>
        <w:rPr>
          <w:rFonts w:ascii="Arial" w:hAnsi="Arial"/>
          <w:b/>
          <w:bCs/>
        </w:rPr>
        <w:t xml:space="preserve">financial tender form </w:t>
      </w:r>
      <w:r>
        <w:rPr>
          <w:rFonts w:ascii="Arial" w:hAnsi="Arial"/>
        </w:rPr>
        <w:t>refers to the financial data that should enable the amount of the tender to be calculated. The quantities are given purely for information and solely for the purposes of comparing financial offers. They shall not under any circumstances constitute an undertaking on the part of the GSC. For tenders deemed to be technically compliant, the financial data set out in them shall be checked for any errors. Where there is a discrepancy between a unit price and the total amount obtained by multiplying that unit price by the quantity, the stipulated unit price shall prevail. Obvious clerical errors shall be corrected by the evaluation committee with the tenderer's agreement.</w:t>
      </w:r>
    </w:p>
    <w:p w:rsidR="0021724C" w:rsidRPr="00837961" w:rsidRDefault="0021724C" w:rsidP="00E5109A">
      <w:pPr>
        <w:spacing w:line="240" w:lineRule="auto"/>
        <w:ind w:left="567"/>
        <w:jc w:val="both"/>
        <w:rPr>
          <w:rFonts w:ascii="Arial" w:hAnsi="Arial" w:cs="Arial"/>
          <w:color w:val="000000"/>
        </w:rPr>
      </w:pPr>
    </w:p>
    <w:p w:rsidR="0021724C" w:rsidRPr="00837961" w:rsidRDefault="0021724C" w:rsidP="0067688A">
      <w:pPr>
        <w:spacing w:line="240" w:lineRule="auto"/>
        <w:ind w:left="567"/>
        <w:rPr>
          <w:rFonts w:ascii="Arial" w:hAnsi="Arial" w:cs="Arial"/>
        </w:rPr>
      </w:pPr>
    </w:p>
    <w:p w:rsidR="00FA1D1A" w:rsidRPr="00207550" w:rsidRDefault="00143CC3" w:rsidP="0067688A">
      <w:pPr>
        <w:pStyle w:val="Heading1"/>
        <w:rPr>
          <w:rFonts w:ascii="Arial" w:hAnsi="Arial" w:cs="Arial"/>
        </w:rPr>
      </w:pPr>
      <w:bookmarkStart w:id="59" w:name="_Toc444612233"/>
      <w:bookmarkStart w:id="60" w:name="_Toc448913624"/>
      <w:r>
        <w:rPr>
          <w:rFonts w:ascii="Arial" w:hAnsi="Arial"/>
        </w:rPr>
        <w:lastRenderedPageBreak/>
        <w:t>Annexes</w:t>
      </w:r>
      <w:bookmarkEnd w:id="59"/>
      <w:bookmarkEnd w:id="60"/>
    </w:p>
    <w:p w:rsidR="00FA1D1A" w:rsidRPr="00207550" w:rsidRDefault="00FA1D1A" w:rsidP="0067688A">
      <w:pPr>
        <w:spacing w:line="240" w:lineRule="auto"/>
        <w:ind w:left="426"/>
        <w:rPr>
          <w:rFonts w:ascii="Arial" w:hAnsi="Arial" w:cs="Arial"/>
          <w:lang w:val="fr-BE"/>
        </w:rPr>
      </w:pPr>
    </w:p>
    <w:p w:rsidR="002B28C5" w:rsidRPr="00207550" w:rsidRDefault="00143CC3" w:rsidP="00D92A88">
      <w:pPr>
        <w:spacing w:line="240" w:lineRule="auto"/>
        <w:ind w:left="567"/>
        <w:rPr>
          <w:rFonts w:ascii="Arial" w:hAnsi="Arial" w:cs="Arial"/>
        </w:rPr>
      </w:pPr>
      <w:r>
        <w:rPr>
          <w:rFonts w:ascii="Arial" w:hAnsi="Arial"/>
        </w:rPr>
        <w:t>- Annex 1 to the tendering specifications: Detailed information on the tendering entity</w:t>
      </w:r>
    </w:p>
    <w:p w:rsidR="00143CC3" w:rsidRPr="00207550" w:rsidRDefault="00143CC3" w:rsidP="00D92A88">
      <w:pPr>
        <w:spacing w:line="240" w:lineRule="auto"/>
        <w:ind w:left="567"/>
        <w:rPr>
          <w:rFonts w:ascii="Arial" w:hAnsi="Arial" w:cs="Arial"/>
        </w:rPr>
      </w:pPr>
      <w:r>
        <w:rPr>
          <w:rFonts w:ascii="Arial" w:hAnsi="Arial"/>
        </w:rPr>
        <w:t>- Annex 2 to the tendering specifications: Functional and technical specifications</w:t>
      </w:r>
    </w:p>
    <w:p w:rsidR="008D03D6" w:rsidRDefault="00143CC3" w:rsidP="00E5109A">
      <w:pPr>
        <w:spacing w:line="240" w:lineRule="auto"/>
        <w:ind w:left="567"/>
        <w:rPr>
          <w:rFonts w:ascii="Arial" w:hAnsi="Arial" w:cs="Arial"/>
        </w:rPr>
      </w:pPr>
      <w:r>
        <w:rPr>
          <w:rFonts w:ascii="Arial" w:hAnsi="Arial"/>
        </w:rPr>
        <w:t>- Annex 3 to the tendering specifications: Financial tender forms</w:t>
      </w:r>
    </w:p>
    <w:sectPr w:rsidR="008D03D6" w:rsidSect="00D6796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567"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E6" w:rsidRDefault="008A6FE6">
      <w:r>
        <w:separator/>
      </w:r>
    </w:p>
  </w:endnote>
  <w:endnote w:type="continuationSeparator" w:id="0">
    <w:p w:rsidR="008A6FE6" w:rsidRDefault="008A6FE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Default="007E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C1" w:rsidRDefault="00217A98" w:rsidP="007E2761">
    <w:pPr>
      <w:pStyle w:val="Footer"/>
      <w:pBdr>
        <w:top w:val="thinThickSmallGap" w:sz="24" w:space="1" w:color="622423"/>
      </w:pBdr>
      <w:tabs>
        <w:tab w:val="clear" w:pos="4820"/>
        <w:tab w:val="clear" w:pos="7371"/>
        <w:tab w:val="clear" w:pos="9639"/>
        <w:tab w:val="center" w:pos="6804"/>
        <w:tab w:val="right" w:pos="10206"/>
      </w:tabs>
      <w:ind w:left="-567"/>
      <w:rPr>
        <w:rFonts w:ascii="Arial" w:hAnsi="Arial" w:cs="Arial"/>
        <w:b/>
        <w:bCs/>
        <w:sz w:val="18"/>
        <w:szCs w:val="18"/>
      </w:rPr>
    </w:pPr>
    <w:r>
      <w:rPr>
        <w:rFonts w:ascii="Arial" w:hAnsi="Arial"/>
        <w:b/>
        <w:bCs/>
        <w:sz w:val="18"/>
        <w:szCs w:val="18"/>
      </w:rPr>
      <w:t>SN 2262/16</w:t>
    </w:r>
    <w:r>
      <w:rPr>
        <w:rFonts w:ascii="Arial" w:hAnsi="Arial"/>
        <w:b/>
        <w:bCs/>
        <w:sz w:val="18"/>
        <w:szCs w:val="18"/>
      </w:rPr>
      <w:tab/>
    </w:r>
    <w:r w:rsidR="007E2761">
      <w:rPr>
        <w:rFonts w:ascii="Arial" w:hAnsi="Arial"/>
        <w:b/>
        <w:bCs/>
        <w:sz w:val="18"/>
        <w:szCs w:val="18"/>
      </w:rPr>
      <w:t>cam/JK/fc</w:t>
    </w:r>
    <w:r>
      <w:rPr>
        <w:rFonts w:ascii="Arial" w:hAnsi="Arial"/>
        <w:b/>
        <w:bCs/>
        <w:sz w:val="18"/>
        <w:szCs w:val="18"/>
      </w:rPr>
      <w:tab/>
      <w:t xml:space="preserve">Page </w:t>
    </w:r>
    <w:r w:rsidR="000D45C1" w:rsidRPr="00BE665A">
      <w:rPr>
        <w:rFonts w:ascii="Arial" w:hAnsi="Arial" w:cs="Arial"/>
        <w:b/>
        <w:bCs/>
        <w:sz w:val="18"/>
        <w:szCs w:val="18"/>
      </w:rPr>
      <w:fldChar w:fldCharType="begin"/>
    </w:r>
    <w:r w:rsidR="000D45C1" w:rsidRPr="00BE665A">
      <w:rPr>
        <w:rFonts w:ascii="Arial" w:hAnsi="Arial" w:cs="Arial"/>
        <w:b/>
        <w:bCs/>
        <w:sz w:val="18"/>
        <w:szCs w:val="18"/>
      </w:rPr>
      <w:instrText xml:space="preserve"> PAGE   \* MERGEFORMAT </w:instrText>
    </w:r>
    <w:r w:rsidR="000D45C1" w:rsidRPr="00BE665A">
      <w:rPr>
        <w:rFonts w:ascii="Arial" w:hAnsi="Arial" w:cs="Arial"/>
        <w:b/>
        <w:bCs/>
        <w:sz w:val="18"/>
        <w:szCs w:val="18"/>
      </w:rPr>
      <w:fldChar w:fldCharType="separate"/>
    </w:r>
    <w:r w:rsidR="002051B5">
      <w:rPr>
        <w:rFonts w:ascii="Arial" w:hAnsi="Arial" w:cs="Arial"/>
        <w:b/>
        <w:bCs/>
        <w:noProof/>
        <w:sz w:val="18"/>
        <w:szCs w:val="18"/>
      </w:rPr>
      <w:t>3</w:t>
    </w:r>
    <w:r w:rsidR="000D45C1" w:rsidRPr="00BE665A">
      <w:rPr>
        <w:rFonts w:ascii="Arial" w:hAnsi="Arial" w:cs="Arial"/>
        <w:b/>
        <w:bCs/>
        <w:sz w:val="18"/>
        <w:szCs w:val="18"/>
      </w:rPr>
      <w:fldChar w:fldCharType="end"/>
    </w:r>
    <w:r>
      <w:rPr>
        <w:rFonts w:ascii="Arial" w:hAnsi="Arial"/>
        <w:b/>
        <w:bCs/>
        <w:sz w:val="18"/>
        <w:szCs w:val="18"/>
      </w:rPr>
      <w:t xml:space="preserve"> of </w:t>
    </w:r>
    <w:r w:rsidR="000D45C1" w:rsidRPr="00BE665A">
      <w:rPr>
        <w:rFonts w:ascii="Arial" w:hAnsi="Arial" w:cs="Arial"/>
        <w:b/>
        <w:bCs/>
        <w:sz w:val="18"/>
        <w:szCs w:val="18"/>
      </w:rPr>
      <w:fldChar w:fldCharType="begin"/>
    </w:r>
    <w:r w:rsidR="000D45C1" w:rsidRPr="00BE665A">
      <w:rPr>
        <w:rFonts w:ascii="Arial" w:hAnsi="Arial" w:cs="Arial"/>
        <w:b/>
        <w:bCs/>
        <w:sz w:val="18"/>
        <w:szCs w:val="18"/>
      </w:rPr>
      <w:instrText xml:space="preserve"> NUMPAGES   \* MERGEFORMAT </w:instrText>
    </w:r>
    <w:r w:rsidR="000D45C1" w:rsidRPr="00BE665A">
      <w:rPr>
        <w:rFonts w:ascii="Arial" w:hAnsi="Arial" w:cs="Arial"/>
        <w:b/>
        <w:bCs/>
        <w:sz w:val="18"/>
        <w:szCs w:val="18"/>
      </w:rPr>
      <w:fldChar w:fldCharType="separate"/>
    </w:r>
    <w:r w:rsidR="002051B5">
      <w:rPr>
        <w:rFonts w:ascii="Arial" w:hAnsi="Arial" w:cs="Arial"/>
        <w:b/>
        <w:bCs/>
        <w:noProof/>
        <w:sz w:val="18"/>
        <w:szCs w:val="18"/>
      </w:rPr>
      <w:t>5</w:t>
    </w:r>
    <w:r w:rsidR="000D45C1" w:rsidRPr="00BE665A">
      <w:rPr>
        <w:rFonts w:ascii="Arial" w:hAnsi="Arial" w:cs="Arial"/>
        <w:b/>
        <w:bCs/>
        <w:sz w:val="18"/>
        <w:szCs w:val="18"/>
      </w:rPr>
      <w:fldChar w:fldCharType="end"/>
    </w:r>
  </w:p>
  <w:p w:rsidR="00217A98" w:rsidRPr="00BE665A" w:rsidRDefault="00217A98" w:rsidP="00217A98">
    <w:pPr>
      <w:pStyle w:val="Footer"/>
      <w:pBdr>
        <w:top w:val="thinThickSmallGap" w:sz="24" w:space="1" w:color="622423"/>
      </w:pBdr>
      <w:tabs>
        <w:tab w:val="clear" w:pos="7371"/>
        <w:tab w:val="clear" w:pos="9639"/>
        <w:tab w:val="right" w:pos="10206"/>
      </w:tabs>
      <w:ind w:left="-567"/>
      <w:jc w:val="center"/>
      <w:rPr>
        <w:rFonts w:ascii="Arial" w:hAnsi="Arial" w:cs="Arial"/>
        <w:b/>
        <w:bCs/>
        <w:sz w:val="18"/>
        <w:szCs w:val="18"/>
      </w:rPr>
    </w:pPr>
    <w:r>
      <w:rPr>
        <w:rFonts w:ascii="Arial" w:hAnsi="Arial"/>
        <w:b/>
        <w:bCs/>
        <w:sz w:val="18"/>
        <w:szCs w:val="18"/>
      </w:rPr>
      <w:t>DGA2B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Default="007E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E6" w:rsidRDefault="008A6FE6">
      <w:pPr>
        <w:pStyle w:val="FootnoteText"/>
      </w:pPr>
      <w:r>
        <w:separator/>
      </w:r>
    </w:p>
  </w:footnote>
  <w:footnote w:type="continuationSeparator" w:id="0">
    <w:p w:rsidR="008A6FE6" w:rsidRDefault="008A6FE6">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Default="007E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Default="007E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61" w:rsidRDefault="007E2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0D412DC1"/>
    <w:multiLevelType w:val="hybridMultilevel"/>
    <w:tmpl w:val="19902922"/>
    <w:lvl w:ilvl="0" w:tplc="706AF8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9B2659"/>
    <w:multiLevelType w:val="hybridMultilevel"/>
    <w:tmpl w:val="05304E48"/>
    <w:lvl w:ilvl="0" w:tplc="A69EA36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C731F0"/>
    <w:multiLevelType w:val="hybridMultilevel"/>
    <w:tmpl w:val="193C74C8"/>
    <w:lvl w:ilvl="0" w:tplc="080C000B">
      <w:start w:val="1"/>
      <w:numFmt w:val="bullet"/>
      <w:lvlText w:val=""/>
      <w:lvlJc w:val="left"/>
      <w:pPr>
        <w:tabs>
          <w:tab w:val="num" w:pos="720"/>
        </w:tabs>
        <w:ind w:left="720" w:hanging="360"/>
      </w:pPr>
      <w:rPr>
        <w:rFonts w:ascii="Wingdings" w:hAnsi="Wingdings" w:cs="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nsid w:val="22D918D1"/>
    <w:multiLevelType w:val="multilevel"/>
    <w:tmpl w:val="D3029654"/>
    <w:lvl w:ilvl="0">
      <w:start w:val="1"/>
      <w:numFmt w:val="upperRoman"/>
      <w:pStyle w:val="Heading1"/>
      <w:lvlText w:val="%1."/>
      <w:lvlJc w:val="left"/>
      <w:pPr>
        <w:tabs>
          <w:tab w:val="num" w:pos="851"/>
        </w:tabs>
        <w:ind w:left="851" w:hanging="851"/>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8">
    <w:nsid w:val="338A62CF"/>
    <w:multiLevelType w:val="hybridMultilevel"/>
    <w:tmpl w:val="D806FA2E"/>
    <w:lvl w:ilvl="0" w:tplc="080C000B">
      <w:start w:val="1"/>
      <w:numFmt w:val="bullet"/>
      <w:lvlText w:val=""/>
      <w:lvlJc w:val="left"/>
      <w:pPr>
        <w:tabs>
          <w:tab w:val="num" w:pos="720"/>
        </w:tabs>
        <w:ind w:left="720" w:hanging="360"/>
      </w:pPr>
      <w:rPr>
        <w:rFonts w:ascii="Wingdings" w:hAnsi="Wingdings" w:cs="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2">
    <w:nsid w:val="41B31F31"/>
    <w:multiLevelType w:val="hybridMultilevel"/>
    <w:tmpl w:val="BD5CF5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4">
    <w:nsid w:val="495334D6"/>
    <w:multiLevelType w:val="hybridMultilevel"/>
    <w:tmpl w:val="84B8F66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5">
    <w:nsid w:val="51CC566D"/>
    <w:multiLevelType w:val="hybridMultilevel"/>
    <w:tmpl w:val="AE9E666C"/>
    <w:lvl w:ilvl="0" w:tplc="080C000B">
      <w:start w:val="1"/>
      <w:numFmt w:val="bullet"/>
      <w:lvlText w:val=""/>
      <w:lvlJc w:val="left"/>
      <w:pPr>
        <w:tabs>
          <w:tab w:val="num" w:pos="720"/>
        </w:tabs>
        <w:ind w:left="720" w:hanging="360"/>
      </w:pPr>
      <w:rPr>
        <w:rFonts w:ascii="Wingdings" w:hAnsi="Wingdings" w:cs="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55D2625"/>
    <w:multiLevelType w:val="multilevel"/>
    <w:tmpl w:val="1AE879C8"/>
    <w:lvl w:ilvl="0">
      <w:start w:val="1"/>
      <w:numFmt w:val="upperRoman"/>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5A9F4981"/>
    <w:multiLevelType w:val="hybridMultilevel"/>
    <w:tmpl w:val="3C20F952"/>
    <w:lvl w:ilvl="0" w:tplc="080C000B">
      <w:start w:val="1"/>
      <w:numFmt w:val="bullet"/>
      <w:lvlText w:val=""/>
      <w:lvlJc w:val="left"/>
      <w:pPr>
        <w:tabs>
          <w:tab w:val="num" w:pos="720"/>
        </w:tabs>
        <w:ind w:left="720" w:hanging="360"/>
      </w:pPr>
      <w:rPr>
        <w:rFonts w:ascii="Wingdings" w:hAnsi="Wingdings" w:cs="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7863E90"/>
    <w:multiLevelType w:val="hybridMultilevel"/>
    <w:tmpl w:val="A46C6D2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0">
    <w:nsid w:val="708C09B1"/>
    <w:multiLevelType w:val="hybridMultilevel"/>
    <w:tmpl w:val="14242E9C"/>
    <w:lvl w:ilvl="0" w:tplc="0809000B">
      <w:start w:val="1"/>
      <w:numFmt w:val="bullet"/>
      <w:lvlText w:val=""/>
      <w:lvlJc w:val="left"/>
      <w:pPr>
        <w:tabs>
          <w:tab w:val="num" w:pos="1439"/>
        </w:tabs>
        <w:ind w:left="1439" w:hanging="360"/>
      </w:pPr>
      <w:rPr>
        <w:rFonts w:ascii="Wingdings" w:hAnsi="Wingdings" w:cs="Wingdings" w:hint="default"/>
      </w:rPr>
    </w:lvl>
    <w:lvl w:ilvl="1" w:tplc="08090003" w:tentative="1">
      <w:start w:val="1"/>
      <w:numFmt w:val="bullet"/>
      <w:lvlText w:val="o"/>
      <w:lvlJc w:val="left"/>
      <w:pPr>
        <w:tabs>
          <w:tab w:val="num" w:pos="2159"/>
        </w:tabs>
        <w:ind w:left="2159" w:hanging="360"/>
      </w:pPr>
      <w:rPr>
        <w:rFonts w:ascii="Courier New" w:hAnsi="Courier New" w:cs="Courier New" w:hint="default"/>
      </w:rPr>
    </w:lvl>
    <w:lvl w:ilvl="2" w:tplc="08090005" w:tentative="1">
      <w:start w:val="1"/>
      <w:numFmt w:val="bullet"/>
      <w:lvlText w:val=""/>
      <w:lvlJc w:val="left"/>
      <w:pPr>
        <w:tabs>
          <w:tab w:val="num" w:pos="2879"/>
        </w:tabs>
        <w:ind w:left="2879" w:hanging="360"/>
      </w:pPr>
      <w:rPr>
        <w:rFonts w:ascii="Wingdings" w:hAnsi="Wingdings" w:cs="Wingdings" w:hint="default"/>
      </w:rPr>
    </w:lvl>
    <w:lvl w:ilvl="3" w:tplc="08090001" w:tentative="1">
      <w:start w:val="1"/>
      <w:numFmt w:val="bullet"/>
      <w:lvlText w:val=""/>
      <w:lvlJc w:val="left"/>
      <w:pPr>
        <w:tabs>
          <w:tab w:val="num" w:pos="3599"/>
        </w:tabs>
        <w:ind w:left="3599" w:hanging="360"/>
      </w:pPr>
      <w:rPr>
        <w:rFonts w:ascii="Symbol" w:hAnsi="Symbol" w:cs="Symbol" w:hint="default"/>
      </w:rPr>
    </w:lvl>
    <w:lvl w:ilvl="4" w:tplc="08090003" w:tentative="1">
      <w:start w:val="1"/>
      <w:numFmt w:val="bullet"/>
      <w:lvlText w:val="o"/>
      <w:lvlJc w:val="left"/>
      <w:pPr>
        <w:tabs>
          <w:tab w:val="num" w:pos="4319"/>
        </w:tabs>
        <w:ind w:left="4319" w:hanging="360"/>
      </w:pPr>
      <w:rPr>
        <w:rFonts w:ascii="Courier New" w:hAnsi="Courier New" w:cs="Courier New" w:hint="default"/>
      </w:rPr>
    </w:lvl>
    <w:lvl w:ilvl="5" w:tplc="08090005" w:tentative="1">
      <w:start w:val="1"/>
      <w:numFmt w:val="bullet"/>
      <w:lvlText w:val=""/>
      <w:lvlJc w:val="left"/>
      <w:pPr>
        <w:tabs>
          <w:tab w:val="num" w:pos="5039"/>
        </w:tabs>
        <w:ind w:left="5039" w:hanging="360"/>
      </w:pPr>
      <w:rPr>
        <w:rFonts w:ascii="Wingdings" w:hAnsi="Wingdings" w:cs="Wingdings" w:hint="default"/>
      </w:rPr>
    </w:lvl>
    <w:lvl w:ilvl="6" w:tplc="08090001" w:tentative="1">
      <w:start w:val="1"/>
      <w:numFmt w:val="bullet"/>
      <w:lvlText w:val=""/>
      <w:lvlJc w:val="left"/>
      <w:pPr>
        <w:tabs>
          <w:tab w:val="num" w:pos="5759"/>
        </w:tabs>
        <w:ind w:left="5759" w:hanging="360"/>
      </w:pPr>
      <w:rPr>
        <w:rFonts w:ascii="Symbol" w:hAnsi="Symbol" w:cs="Symbol" w:hint="default"/>
      </w:rPr>
    </w:lvl>
    <w:lvl w:ilvl="7" w:tplc="08090003" w:tentative="1">
      <w:start w:val="1"/>
      <w:numFmt w:val="bullet"/>
      <w:lvlText w:val="o"/>
      <w:lvlJc w:val="left"/>
      <w:pPr>
        <w:tabs>
          <w:tab w:val="num" w:pos="6479"/>
        </w:tabs>
        <w:ind w:left="6479" w:hanging="360"/>
      </w:pPr>
      <w:rPr>
        <w:rFonts w:ascii="Courier New" w:hAnsi="Courier New" w:cs="Courier New" w:hint="default"/>
      </w:rPr>
    </w:lvl>
    <w:lvl w:ilvl="8" w:tplc="08090005" w:tentative="1">
      <w:start w:val="1"/>
      <w:numFmt w:val="bullet"/>
      <w:lvlText w:val=""/>
      <w:lvlJc w:val="left"/>
      <w:pPr>
        <w:tabs>
          <w:tab w:val="num" w:pos="7199"/>
        </w:tabs>
        <w:ind w:left="7199" w:hanging="360"/>
      </w:pPr>
      <w:rPr>
        <w:rFonts w:ascii="Wingdings" w:hAnsi="Wingdings" w:cs="Wingdings" w:hint="default"/>
      </w:rPr>
    </w:lvl>
  </w:abstractNum>
  <w:abstractNum w:abstractNumId="2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7"/>
  </w:num>
  <w:num w:numId="2">
    <w:abstractNumId w:val="10"/>
  </w:num>
  <w:num w:numId="3">
    <w:abstractNumId w:val="21"/>
  </w:num>
  <w:num w:numId="4">
    <w:abstractNumId w:val="4"/>
  </w:num>
  <w:num w:numId="5">
    <w:abstractNumId w:val="13"/>
  </w:num>
  <w:num w:numId="6">
    <w:abstractNumId w:val="9"/>
  </w:num>
  <w:num w:numId="7">
    <w:abstractNumId w:val="11"/>
  </w:num>
  <w:num w:numId="8">
    <w:abstractNumId w:val="19"/>
  </w:num>
  <w:num w:numId="9">
    <w:abstractNumId w:val="6"/>
  </w:num>
  <w:num w:numId="10">
    <w:abstractNumId w:val="0"/>
  </w:num>
  <w:num w:numId="11">
    <w:abstractNumId w:val="5"/>
  </w:num>
  <w:num w:numId="12">
    <w:abstractNumId w:val="15"/>
  </w:num>
  <w:num w:numId="13">
    <w:abstractNumId w:val="8"/>
  </w:num>
  <w:num w:numId="14">
    <w:abstractNumId w:val="3"/>
  </w:num>
  <w:num w:numId="15">
    <w:abstractNumId w:val="17"/>
  </w:num>
  <w:num w:numId="16">
    <w:abstractNumId w:val="20"/>
  </w:num>
  <w:num w:numId="17">
    <w:abstractNumId w:val="5"/>
  </w:num>
  <w:num w:numId="18">
    <w:abstractNumId w:val="5"/>
  </w:num>
  <w:num w:numId="19">
    <w:abstractNumId w:val="5"/>
  </w:num>
  <w:num w:numId="20">
    <w:abstractNumId w:val="5"/>
  </w:num>
  <w:num w:numId="21">
    <w:abstractNumId w:val="5"/>
  </w:num>
  <w:num w:numId="22">
    <w:abstractNumId w:val="16"/>
  </w:num>
  <w:num w:numId="23">
    <w:abstractNumId w:val="16"/>
    <w:lvlOverride w:ilvl="0">
      <w:lvl w:ilvl="0">
        <w:start w:val="1"/>
        <w:numFmt w:val="upperRoman"/>
        <w:lvlText w:val="%1."/>
        <w:lvlJc w:val="left"/>
        <w:pPr>
          <w:tabs>
            <w:tab w:val="num" w:pos="851"/>
          </w:tabs>
          <w:ind w:left="851" w:hanging="851"/>
        </w:pPr>
        <w:rPr>
          <w:rFonts w:hint="default"/>
        </w:rPr>
      </w:lvl>
    </w:lvlOverride>
    <w:lvlOverride w:ilvl="1">
      <w:lvl w:ilvl="1">
        <w:start w:val="1"/>
        <w:numFmt w:val="decimal"/>
        <w:lvlText w:val="%2."/>
        <w:lvlJc w:val="left"/>
        <w:pPr>
          <w:tabs>
            <w:tab w:val="num" w:pos="851"/>
          </w:tabs>
          <w:ind w:left="851" w:hanging="851"/>
        </w:pPr>
        <w:rPr>
          <w:rFonts w:hint="default"/>
        </w:rPr>
      </w:lvl>
    </w:lvlOverride>
    <w:lvlOverride w:ilvl="2">
      <w:lvl w:ilvl="2">
        <w:start w:val="1"/>
        <w:numFmt w:val="decimal"/>
        <w:lvlText w:val="%3."/>
        <w:lvlJc w:val="left"/>
        <w:pPr>
          <w:tabs>
            <w:tab w:val="num" w:pos="851"/>
          </w:tabs>
          <w:ind w:left="851" w:hanging="851"/>
        </w:pPr>
        <w:rPr>
          <w:rFonts w:hint="default"/>
        </w:rPr>
      </w:lvl>
    </w:lvlOverride>
    <w:lvlOverride w:ilvl="3">
      <w:lvl w:ilvl="3">
        <w:start w:val="1"/>
        <w:numFmt w:val="lowerRoman"/>
        <w:lvlText w:val="%4)"/>
        <w:lvlJc w:val="left"/>
        <w:pPr>
          <w:tabs>
            <w:tab w:val="num" w:pos="851"/>
          </w:tabs>
          <w:ind w:left="851" w:hanging="851"/>
        </w:pPr>
        <w:rPr>
          <w:rFonts w:hint="default"/>
        </w:rPr>
      </w:lvl>
    </w:lvlOverride>
    <w:lvlOverride w:ilvl="4">
      <w:lvl w:ilvl="4">
        <w:start w:val="1"/>
        <w:numFmt w:val="none"/>
        <w:lvlText w:val=""/>
        <w:lvlJc w:val="left"/>
        <w:pPr>
          <w:tabs>
            <w:tab w:val="num" w:pos="36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0" w:firstLine="0"/>
        </w:pPr>
        <w:rPr>
          <w:rFonts w:hint="default"/>
        </w:rPr>
      </w:lvl>
    </w:lvlOverride>
  </w:num>
  <w:num w:numId="24">
    <w:abstractNumId w:val="1"/>
  </w:num>
  <w:num w:numId="25">
    <w:abstractNumId w:val="2"/>
  </w:num>
  <w:num w:numId="26">
    <w:abstractNumId w:val="18"/>
  </w:num>
  <w:num w:numId="27">
    <w:abstractNumId w:val="14"/>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DW_DocType" w:val="_GENEN"/>
  </w:docVars>
  <w:rsids>
    <w:rsidRoot w:val="0081789E"/>
    <w:rsid w:val="000449B4"/>
    <w:rsid w:val="0005086A"/>
    <w:rsid w:val="00054C4B"/>
    <w:rsid w:val="00064525"/>
    <w:rsid w:val="00067F31"/>
    <w:rsid w:val="000750F3"/>
    <w:rsid w:val="00075910"/>
    <w:rsid w:val="00076ED2"/>
    <w:rsid w:val="00083FBC"/>
    <w:rsid w:val="000867FF"/>
    <w:rsid w:val="0009569C"/>
    <w:rsid w:val="000A3826"/>
    <w:rsid w:val="000D2B33"/>
    <w:rsid w:val="000D45C1"/>
    <w:rsid w:val="000E1C75"/>
    <w:rsid w:val="000F4E85"/>
    <w:rsid w:val="0012665C"/>
    <w:rsid w:val="00143CC3"/>
    <w:rsid w:val="0014406C"/>
    <w:rsid w:val="00164E11"/>
    <w:rsid w:val="001663AA"/>
    <w:rsid w:val="00171F08"/>
    <w:rsid w:val="0017477F"/>
    <w:rsid w:val="00174E40"/>
    <w:rsid w:val="001A173A"/>
    <w:rsid w:val="001D5048"/>
    <w:rsid w:val="001D60D8"/>
    <w:rsid w:val="001F59C5"/>
    <w:rsid w:val="001F7964"/>
    <w:rsid w:val="0020127F"/>
    <w:rsid w:val="00204F63"/>
    <w:rsid w:val="002051B5"/>
    <w:rsid w:val="00207550"/>
    <w:rsid w:val="0021724C"/>
    <w:rsid w:val="00217A98"/>
    <w:rsid w:val="00220AE0"/>
    <w:rsid w:val="0022170F"/>
    <w:rsid w:val="00234D95"/>
    <w:rsid w:val="00235E0E"/>
    <w:rsid w:val="0024283F"/>
    <w:rsid w:val="00244353"/>
    <w:rsid w:val="0025703C"/>
    <w:rsid w:val="00277561"/>
    <w:rsid w:val="002A000E"/>
    <w:rsid w:val="002A0B57"/>
    <w:rsid w:val="002B28C5"/>
    <w:rsid w:val="002C2564"/>
    <w:rsid w:val="002C4EED"/>
    <w:rsid w:val="002C6822"/>
    <w:rsid w:val="002D0849"/>
    <w:rsid w:val="002D1EFE"/>
    <w:rsid w:val="002D5B64"/>
    <w:rsid w:val="002E46F1"/>
    <w:rsid w:val="002F0BB5"/>
    <w:rsid w:val="002F1116"/>
    <w:rsid w:val="00304DEB"/>
    <w:rsid w:val="00323DF1"/>
    <w:rsid w:val="003317EC"/>
    <w:rsid w:val="00335A55"/>
    <w:rsid w:val="00365A1E"/>
    <w:rsid w:val="00376FF1"/>
    <w:rsid w:val="003804B2"/>
    <w:rsid w:val="003812B9"/>
    <w:rsid w:val="00387442"/>
    <w:rsid w:val="0039090B"/>
    <w:rsid w:val="00393D0D"/>
    <w:rsid w:val="003A675D"/>
    <w:rsid w:val="003B4BBB"/>
    <w:rsid w:val="003D12D6"/>
    <w:rsid w:val="003D5361"/>
    <w:rsid w:val="003F010B"/>
    <w:rsid w:val="003F7522"/>
    <w:rsid w:val="0040235B"/>
    <w:rsid w:val="00410588"/>
    <w:rsid w:val="00421FD2"/>
    <w:rsid w:val="004346E3"/>
    <w:rsid w:val="00445F2C"/>
    <w:rsid w:val="00446EA1"/>
    <w:rsid w:val="00452EDA"/>
    <w:rsid w:val="00456D48"/>
    <w:rsid w:val="00462CBB"/>
    <w:rsid w:val="00465B83"/>
    <w:rsid w:val="00467E5C"/>
    <w:rsid w:val="00481029"/>
    <w:rsid w:val="00490932"/>
    <w:rsid w:val="00491ACF"/>
    <w:rsid w:val="004B200F"/>
    <w:rsid w:val="004D202F"/>
    <w:rsid w:val="004E09B5"/>
    <w:rsid w:val="004E1A79"/>
    <w:rsid w:val="004E30A8"/>
    <w:rsid w:val="004F1F3A"/>
    <w:rsid w:val="005115B2"/>
    <w:rsid w:val="005120B2"/>
    <w:rsid w:val="005176C6"/>
    <w:rsid w:val="00517AFA"/>
    <w:rsid w:val="0053148A"/>
    <w:rsid w:val="00560B98"/>
    <w:rsid w:val="00573235"/>
    <w:rsid w:val="00577C54"/>
    <w:rsid w:val="00582D08"/>
    <w:rsid w:val="00591446"/>
    <w:rsid w:val="005C1DE3"/>
    <w:rsid w:val="005C6E01"/>
    <w:rsid w:val="005D11D1"/>
    <w:rsid w:val="005D3C88"/>
    <w:rsid w:val="005F45C3"/>
    <w:rsid w:val="005F793E"/>
    <w:rsid w:val="00604699"/>
    <w:rsid w:val="00615C14"/>
    <w:rsid w:val="006164E1"/>
    <w:rsid w:val="006205F2"/>
    <w:rsid w:val="00624C6D"/>
    <w:rsid w:val="0063483E"/>
    <w:rsid w:val="006441BC"/>
    <w:rsid w:val="006609FB"/>
    <w:rsid w:val="0067688A"/>
    <w:rsid w:val="00681EB1"/>
    <w:rsid w:val="00687B95"/>
    <w:rsid w:val="0069311C"/>
    <w:rsid w:val="006937B9"/>
    <w:rsid w:val="006A0D97"/>
    <w:rsid w:val="006A4DAF"/>
    <w:rsid w:val="006A53BD"/>
    <w:rsid w:val="006B3FE1"/>
    <w:rsid w:val="006C06A1"/>
    <w:rsid w:val="006C6C26"/>
    <w:rsid w:val="006D2C19"/>
    <w:rsid w:val="006E1DE5"/>
    <w:rsid w:val="006E3CCC"/>
    <w:rsid w:val="006E4435"/>
    <w:rsid w:val="006E5355"/>
    <w:rsid w:val="006F22F6"/>
    <w:rsid w:val="006F3E3F"/>
    <w:rsid w:val="00754CB7"/>
    <w:rsid w:val="00764244"/>
    <w:rsid w:val="007651B0"/>
    <w:rsid w:val="007654CE"/>
    <w:rsid w:val="0076794C"/>
    <w:rsid w:val="00770432"/>
    <w:rsid w:val="007838EE"/>
    <w:rsid w:val="007B0D74"/>
    <w:rsid w:val="007B6E58"/>
    <w:rsid w:val="007D0248"/>
    <w:rsid w:val="007E2761"/>
    <w:rsid w:val="007F38E2"/>
    <w:rsid w:val="007F7626"/>
    <w:rsid w:val="0081007E"/>
    <w:rsid w:val="0081789E"/>
    <w:rsid w:val="00820D9C"/>
    <w:rsid w:val="0083043C"/>
    <w:rsid w:val="00837961"/>
    <w:rsid w:val="00853B46"/>
    <w:rsid w:val="00860703"/>
    <w:rsid w:val="00881BCD"/>
    <w:rsid w:val="0088319A"/>
    <w:rsid w:val="008A6FE6"/>
    <w:rsid w:val="008B3E59"/>
    <w:rsid w:val="008D03D6"/>
    <w:rsid w:val="008D04D2"/>
    <w:rsid w:val="008D3B70"/>
    <w:rsid w:val="008D3F5F"/>
    <w:rsid w:val="008E6CD4"/>
    <w:rsid w:val="008E6CE1"/>
    <w:rsid w:val="008E7E63"/>
    <w:rsid w:val="008F0F94"/>
    <w:rsid w:val="008F7C26"/>
    <w:rsid w:val="00907A87"/>
    <w:rsid w:val="009135EF"/>
    <w:rsid w:val="009209C8"/>
    <w:rsid w:val="00924270"/>
    <w:rsid w:val="00950B14"/>
    <w:rsid w:val="00954C08"/>
    <w:rsid w:val="009700CD"/>
    <w:rsid w:val="009702F5"/>
    <w:rsid w:val="009846A3"/>
    <w:rsid w:val="00986614"/>
    <w:rsid w:val="009866F3"/>
    <w:rsid w:val="00995506"/>
    <w:rsid w:val="00997218"/>
    <w:rsid w:val="009A1D2C"/>
    <w:rsid w:val="009D15C2"/>
    <w:rsid w:val="009E7878"/>
    <w:rsid w:val="009F0FE5"/>
    <w:rsid w:val="00A32A90"/>
    <w:rsid w:val="00A3456F"/>
    <w:rsid w:val="00A55EB4"/>
    <w:rsid w:val="00A56CF2"/>
    <w:rsid w:val="00A83A74"/>
    <w:rsid w:val="00A8452C"/>
    <w:rsid w:val="00A9225C"/>
    <w:rsid w:val="00A9613B"/>
    <w:rsid w:val="00AA04D3"/>
    <w:rsid w:val="00AA33A2"/>
    <w:rsid w:val="00AD020C"/>
    <w:rsid w:val="00AE1481"/>
    <w:rsid w:val="00AE6D64"/>
    <w:rsid w:val="00B03970"/>
    <w:rsid w:val="00B104EA"/>
    <w:rsid w:val="00B40E1C"/>
    <w:rsid w:val="00B52CF5"/>
    <w:rsid w:val="00B55A5E"/>
    <w:rsid w:val="00B629E1"/>
    <w:rsid w:val="00B65BEF"/>
    <w:rsid w:val="00B845E7"/>
    <w:rsid w:val="00B9096D"/>
    <w:rsid w:val="00B97461"/>
    <w:rsid w:val="00BC3FE8"/>
    <w:rsid w:val="00BE0095"/>
    <w:rsid w:val="00BE0D86"/>
    <w:rsid w:val="00BE665A"/>
    <w:rsid w:val="00BE7C2A"/>
    <w:rsid w:val="00BF1051"/>
    <w:rsid w:val="00C018C7"/>
    <w:rsid w:val="00C22400"/>
    <w:rsid w:val="00C4415B"/>
    <w:rsid w:val="00C502FD"/>
    <w:rsid w:val="00C548E9"/>
    <w:rsid w:val="00C55246"/>
    <w:rsid w:val="00C82663"/>
    <w:rsid w:val="00C83670"/>
    <w:rsid w:val="00C91637"/>
    <w:rsid w:val="00CA1F1C"/>
    <w:rsid w:val="00CA3C73"/>
    <w:rsid w:val="00CD35C2"/>
    <w:rsid w:val="00CE1387"/>
    <w:rsid w:val="00CE51DE"/>
    <w:rsid w:val="00CF309C"/>
    <w:rsid w:val="00CF494B"/>
    <w:rsid w:val="00D125DB"/>
    <w:rsid w:val="00D25D34"/>
    <w:rsid w:val="00D31A71"/>
    <w:rsid w:val="00D34375"/>
    <w:rsid w:val="00D40257"/>
    <w:rsid w:val="00D51754"/>
    <w:rsid w:val="00D5388E"/>
    <w:rsid w:val="00D565A6"/>
    <w:rsid w:val="00D605D1"/>
    <w:rsid w:val="00D6796A"/>
    <w:rsid w:val="00D852EB"/>
    <w:rsid w:val="00D92A88"/>
    <w:rsid w:val="00D954D7"/>
    <w:rsid w:val="00D96E50"/>
    <w:rsid w:val="00D97143"/>
    <w:rsid w:val="00DA36BB"/>
    <w:rsid w:val="00DC015F"/>
    <w:rsid w:val="00DC0246"/>
    <w:rsid w:val="00DD54E0"/>
    <w:rsid w:val="00DE1D55"/>
    <w:rsid w:val="00DE42A7"/>
    <w:rsid w:val="00DF373D"/>
    <w:rsid w:val="00E45613"/>
    <w:rsid w:val="00E5109A"/>
    <w:rsid w:val="00E5556D"/>
    <w:rsid w:val="00E56089"/>
    <w:rsid w:val="00E77FFA"/>
    <w:rsid w:val="00EC014D"/>
    <w:rsid w:val="00EE00BA"/>
    <w:rsid w:val="00EE4F8E"/>
    <w:rsid w:val="00EE6D16"/>
    <w:rsid w:val="00EE6E72"/>
    <w:rsid w:val="00EF4681"/>
    <w:rsid w:val="00EF5F3B"/>
    <w:rsid w:val="00F030A6"/>
    <w:rsid w:val="00F42ECF"/>
    <w:rsid w:val="00F60963"/>
    <w:rsid w:val="00F64303"/>
    <w:rsid w:val="00F75257"/>
    <w:rsid w:val="00F76F17"/>
    <w:rsid w:val="00FA1D1A"/>
    <w:rsid w:val="00FA264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rPr>
  </w:style>
  <w:style w:type="paragraph" w:styleId="Heading1">
    <w:name w:val="heading 1"/>
    <w:basedOn w:val="Normal"/>
    <w:next w:val="Normal"/>
    <w:qFormat/>
    <w:rsid w:val="006E1DE5"/>
    <w:pPr>
      <w:keepNext/>
      <w:widowControl/>
      <w:numPr>
        <w:numId w:val="11"/>
      </w:numPr>
      <w:tabs>
        <w:tab w:val="clear" w:pos="851"/>
        <w:tab w:val="num" w:pos="567"/>
      </w:tabs>
      <w:spacing w:before="360" w:after="120" w:line="240" w:lineRule="auto"/>
      <w:ind w:left="567" w:hanging="567"/>
      <w:outlineLvl w:val="0"/>
    </w:pPr>
    <w:rPr>
      <w:b/>
      <w:smallCaps/>
      <w:u w:val="single"/>
    </w:rPr>
  </w:style>
  <w:style w:type="paragraph" w:styleId="Heading2">
    <w:name w:val="heading 2"/>
    <w:basedOn w:val="Normal"/>
    <w:next w:val="Normal"/>
    <w:qFormat/>
    <w:rsid w:val="006E1DE5"/>
    <w:pPr>
      <w:keepNext/>
      <w:widowControl/>
      <w:numPr>
        <w:ilvl w:val="1"/>
        <w:numId w:val="11"/>
      </w:numPr>
      <w:tabs>
        <w:tab w:val="left" w:pos="567"/>
      </w:tabs>
      <w:spacing w:before="120" w:after="120" w:line="240" w:lineRule="auto"/>
      <w:ind w:hanging="709"/>
      <w:jc w:val="both"/>
      <w:outlineLvl w:val="1"/>
    </w:pPr>
    <w:rPr>
      <w:b/>
      <w:u w:val="single"/>
    </w:rPr>
  </w:style>
  <w:style w:type="paragraph" w:styleId="Heading3">
    <w:name w:val="heading 3"/>
    <w:aliases w:val="Heading 3 fwc"/>
    <w:basedOn w:val="Normal"/>
    <w:next w:val="Normal"/>
    <w:autoRedefine/>
    <w:qFormat/>
    <w:rsid w:val="006E1DE5"/>
    <w:pPr>
      <w:keepNext/>
      <w:widowControl/>
      <w:numPr>
        <w:ilvl w:val="2"/>
        <w:numId w:val="11"/>
      </w:numPr>
      <w:tabs>
        <w:tab w:val="clear" w:pos="851"/>
        <w:tab w:val="num" w:pos="567"/>
      </w:tabs>
      <w:spacing w:before="120" w:after="120" w:line="240" w:lineRule="auto"/>
      <w:ind w:left="567" w:hanging="283"/>
      <w:jc w:val="both"/>
      <w:outlineLvl w:val="2"/>
    </w:pPr>
    <w:rPr>
      <w:i/>
      <w:szCs w:val="24"/>
      <w:u w:val="single"/>
    </w:rPr>
  </w:style>
  <w:style w:type="paragraph" w:styleId="Heading4">
    <w:name w:val="heading 4"/>
    <w:basedOn w:val="Normal"/>
    <w:next w:val="Normal"/>
    <w:autoRedefine/>
    <w:qFormat/>
    <w:rsid w:val="006C06A1"/>
    <w:pPr>
      <w:keepNext/>
      <w:widowControl/>
      <w:numPr>
        <w:ilvl w:val="3"/>
        <w:numId w:val="11"/>
      </w:numPr>
      <w:tabs>
        <w:tab w:val="left" w:pos="567"/>
      </w:tabs>
      <w:spacing w:before="120" w:after="120" w:line="240" w:lineRule="auto"/>
      <w:jc w:val="both"/>
      <w:outlineLvl w:val="3"/>
    </w:pPr>
    <w:rPr>
      <w:szCs w:val="24"/>
    </w:r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rsid w:val="00FA1D1A"/>
    <w:pPr>
      <w:shd w:val="clear" w:color="auto" w:fill="000080"/>
    </w:pPr>
    <w:rPr>
      <w:rFonts w:ascii="Tahoma" w:hAnsi="Tahoma" w:cs="Tahoma"/>
    </w:rPr>
  </w:style>
  <w:style w:type="character" w:styleId="Hyperlink">
    <w:name w:val="Hyperlink"/>
    <w:uiPriority w:val="99"/>
    <w:rsid w:val="00FA1D1A"/>
    <w:rPr>
      <w:color w:val="0000FF"/>
      <w:u w:val="single"/>
    </w:rPr>
  </w:style>
  <w:style w:type="paragraph" w:styleId="BalloonText">
    <w:name w:val="Balloon Text"/>
    <w:basedOn w:val="Normal"/>
    <w:semiHidden/>
    <w:rsid w:val="007D0248"/>
    <w:rPr>
      <w:rFonts w:ascii="Tahoma" w:hAnsi="Tahoma" w:cs="Tahoma"/>
      <w:sz w:val="16"/>
      <w:szCs w:val="16"/>
    </w:rPr>
  </w:style>
  <w:style w:type="paragraph" w:customStyle="1" w:styleId="ParagNormal">
    <w:name w:val="ParagNormal"/>
    <w:basedOn w:val="Normal"/>
    <w:rsid w:val="00FA1D1A"/>
    <w:pPr>
      <w:widowControl/>
      <w:spacing w:after="240" w:line="240" w:lineRule="auto"/>
      <w:jc w:val="both"/>
    </w:pPr>
    <w:rPr>
      <w:szCs w:val="24"/>
      <w:lang w:eastAsia="fr-FR"/>
    </w:rPr>
  </w:style>
  <w:style w:type="paragraph" w:styleId="Caption">
    <w:name w:val="caption"/>
    <w:basedOn w:val="Normal"/>
    <w:next w:val="ParagNormal"/>
    <w:qFormat/>
    <w:rsid w:val="00FA1D1A"/>
    <w:pPr>
      <w:widowControl/>
      <w:spacing w:before="120" w:after="120" w:line="240" w:lineRule="auto"/>
      <w:jc w:val="center"/>
    </w:pPr>
    <w:rPr>
      <w:b/>
      <w:bCs/>
      <w:szCs w:val="24"/>
      <w:lang w:eastAsia="fr-FR"/>
    </w:rPr>
  </w:style>
  <w:style w:type="paragraph" w:customStyle="1" w:styleId="Titredetableau">
    <w:name w:val="Titre de tableau"/>
    <w:basedOn w:val="Normal"/>
    <w:rsid w:val="00FA1D1A"/>
    <w:pPr>
      <w:widowControl/>
      <w:suppressLineNumbers/>
      <w:spacing w:line="240" w:lineRule="auto"/>
      <w:jc w:val="center"/>
    </w:pPr>
    <w:rPr>
      <w:b/>
      <w:bCs/>
      <w:szCs w:val="24"/>
      <w:lang w:eastAsia="fr-FR"/>
    </w:rPr>
  </w:style>
  <w:style w:type="paragraph" w:customStyle="1" w:styleId="CharChar">
    <w:name w:val="Char Char"/>
    <w:basedOn w:val="Heading3"/>
    <w:next w:val="Normal"/>
    <w:rsid w:val="00481029"/>
    <w:pPr>
      <w:numPr>
        <w:ilvl w:val="0"/>
        <w:numId w:val="0"/>
      </w:numPr>
      <w:ind w:left="720" w:hanging="360"/>
    </w:pPr>
    <w:rPr>
      <w:rFonts w:ascii="Tahoma" w:hAnsi="Tahoma"/>
      <w:lang w:eastAsia="en-US"/>
    </w:rPr>
  </w:style>
  <w:style w:type="character" w:customStyle="1" w:styleId="FooterChar">
    <w:name w:val="Footer Char"/>
    <w:link w:val="Footer"/>
    <w:uiPriority w:val="99"/>
    <w:rsid w:val="00881BCD"/>
    <w:rPr>
      <w:sz w:val="24"/>
      <w:lang w:val="en-GB" w:eastAsia="fr-BE"/>
    </w:rPr>
  </w:style>
  <w:style w:type="paragraph" w:styleId="ListParagraph">
    <w:name w:val="List Paragraph"/>
    <w:basedOn w:val="Normal"/>
    <w:uiPriority w:val="34"/>
    <w:qFormat/>
    <w:rsid w:val="00582D08"/>
    <w:pPr>
      <w:ind w:left="720"/>
      <w:contextualSpacing/>
    </w:pPr>
  </w:style>
  <w:style w:type="paragraph" w:customStyle="1" w:styleId="Paragraphestandard">
    <w:name w:val="[Paragraphe standard]"/>
    <w:basedOn w:val="Normal"/>
    <w:uiPriority w:val="99"/>
    <w:rsid w:val="00CF494B"/>
    <w:pPr>
      <w:suppressAutoHyphens/>
      <w:autoSpaceDE w:val="0"/>
      <w:autoSpaceDN w:val="0"/>
      <w:adjustRightInd w:val="0"/>
      <w:spacing w:line="320" w:lineRule="atLeast"/>
      <w:textAlignment w:val="center"/>
    </w:pPr>
    <w:rPr>
      <w:rFonts w:ascii="Arial" w:eastAsia="Cambria"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3C47-37A3-44E5-90EA-569B7FC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6526</CharactersWithSpaces>
  <SharedDoc>false</SharedDoc>
  <HLinks>
    <vt:vector size="84" baseType="variant">
      <vt:variant>
        <vt:i4>1310771</vt:i4>
      </vt:variant>
      <vt:variant>
        <vt:i4>80</vt:i4>
      </vt:variant>
      <vt:variant>
        <vt:i4>0</vt:i4>
      </vt:variant>
      <vt:variant>
        <vt:i4>5</vt:i4>
      </vt:variant>
      <vt:variant>
        <vt:lpwstr/>
      </vt:variant>
      <vt:variant>
        <vt:lpwstr>_Toc444612233</vt:lpwstr>
      </vt:variant>
      <vt:variant>
        <vt:i4>1310771</vt:i4>
      </vt:variant>
      <vt:variant>
        <vt:i4>74</vt:i4>
      </vt:variant>
      <vt:variant>
        <vt:i4>0</vt:i4>
      </vt:variant>
      <vt:variant>
        <vt:i4>5</vt:i4>
      </vt:variant>
      <vt:variant>
        <vt:lpwstr/>
      </vt:variant>
      <vt:variant>
        <vt:lpwstr>_Toc444612232</vt:lpwstr>
      </vt:variant>
      <vt:variant>
        <vt:i4>1310771</vt:i4>
      </vt:variant>
      <vt:variant>
        <vt:i4>68</vt:i4>
      </vt:variant>
      <vt:variant>
        <vt:i4>0</vt:i4>
      </vt:variant>
      <vt:variant>
        <vt:i4>5</vt:i4>
      </vt:variant>
      <vt:variant>
        <vt:lpwstr/>
      </vt:variant>
      <vt:variant>
        <vt:lpwstr>_Toc444612231</vt:lpwstr>
      </vt:variant>
      <vt:variant>
        <vt:i4>1310771</vt:i4>
      </vt:variant>
      <vt:variant>
        <vt:i4>62</vt:i4>
      </vt:variant>
      <vt:variant>
        <vt:i4>0</vt:i4>
      </vt:variant>
      <vt:variant>
        <vt:i4>5</vt:i4>
      </vt:variant>
      <vt:variant>
        <vt:lpwstr/>
      </vt:variant>
      <vt:variant>
        <vt:lpwstr>_Toc444612230</vt:lpwstr>
      </vt:variant>
      <vt:variant>
        <vt:i4>1376307</vt:i4>
      </vt:variant>
      <vt:variant>
        <vt:i4>56</vt:i4>
      </vt:variant>
      <vt:variant>
        <vt:i4>0</vt:i4>
      </vt:variant>
      <vt:variant>
        <vt:i4>5</vt:i4>
      </vt:variant>
      <vt:variant>
        <vt:lpwstr/>
      </vt:variant>
      <vt:variant>
        <vt:lpwstr>_Toc444612229</vt:lpwstr>
      </vt:variant>
      <vt:variant>
        <vt:i4>1376307</vt:i4>
      </vt:variant>
      <vt:variant>
        <vt:i4>50</vt:i4>
      </vt:variant>
      <vt:variant>
        <vt:i4>0</vt:i4>
      </vt:variant>
      <vt:variant>
        <vt:i4>5</vt:i4>
      </vt:variant>
      <vt:variant>
        <vt:lpwstr/>
      </vt:variant>
      <vt:variant>
        <vt:lpwstr>_Toc444612228</vt:lpwstr>
      </vt:variant>
      <vt:variant>
        <vt:i4>1376307</vt:i4>
      </vt:variant>
      <vt:variant>
        <vt:i4>44</vt:i4>
      </vt:variant>
      <vt:variant>
        <vt:i4>0</vt:i4>
      </vt:variant>
      <vt:variant>
        <vt:i4>5</vt:i4>
      </vt:variant>
      <vt:variant>
        <vt:lpwstr/>
      </vt:variant>
      <vt:variant>
        <vt:lpwstr>_Toc444612227</vt:lpwstr>
      </vt:variant>
      <vt:variant>
        <vt:i4>1376307</vt:i4>
      </vt:variant>
      <vt:variant>
        <vt:i4>38</vt:i4>
      </vt:variant>
      <vt:variant>
        <vt:i4>0</vt:i4>
      </vt:variant>
      <vt:variant>
        <vt:i4>5</vt:i4>
      </vt:variant>
      <vt:variant>
        <vt:lpwstr/>
      </vt:variant>
      <vt:variant>
        <vt:lpwstr>_Toc444612226</vt:lpwstr>
      </vt:variant>
      <vt:variant>
        <vt:i4>1376307</vt:i4>
      </vt:variant>
      <vt:variant>
        <vt:i4>32</vt:i4>
      </vt:variant>
      <vt:variant>
        <vt:i4>0</vt:i4>
      </vt:variant>
      <vt:variant>
        <vt:i4>5</vt:i4>
      </vt:variant>
      <vt:variant>
        <vt:lpwstr/>
      </vt:variant>
      <vt:variant>
        <vt:lpwstr>_Toc444612225</vt:lpwstr>
      </vt:variant>
      <vt:variant>
        <vt:i4>1376307</vt:i4>
      </vt:variant>
      <vt:variant>
        <vt:i4>26</vt:i4>
      </vt:variant>
      <vt:variant>
        <vt:i4>0</vt:i4>
      </vt:variant>
      <vt:variant>
        <vt:i4>5</vt:i4>
      </vt:variant>
      <vt:variant>
        <vt:lpwstr/>
      </vt:variant>
      <vt:variant>
        <vt:lpwstr>_Toc444612224</vt:lpwstr>
      </vt:variant>
      <vt:variant>
        <vt:i4>1376307</vt:i4>
      </vt:variant>
      <vt:variant>
        <vt:i4>20</vt:i4>
      </vt:variant>
      <vt:variant>
        <vt:i4>0</vt:i4>
      </vt:variant>
      <vt:variant>
        <vt:i4>5</vt:i4>
      </vt:variant>
      <vt:variant>
        <vt:lpwstr/>
      </vt:variant>
      <vt:variant>
        <vt:lpwstr>_Toc444612223</vt:lpwstr>
      </vt:variant>
      <vt:variant>
        <vt:i4>1376307</vt:i4>
      </vt:variant>
      <vt:variant>
        <vt:i4>14</vt:i4>
      </vt:variant>
      <vt:variant>
        <vt:i4>0</vt:i4>
      </vt:variant>
      <vt:variant>
        <vt:i4>5</vt:i4>
      </vt:variant>
      <vt:variant>
        <vt:lpwstr/>
      </vt:variant>
      <vt:variant>
        <vt:lpwstr>_Toc444612222</vt:lpwstr>
      </vt:variant>
      <vt:variant>
        <vt:i4>1376307</vt:i4>
      </vt:variant>
      <vt:variant>
        <vt:i4>8</vt:i4>
      </vt:variant>
      <vt:variant>
        <vt:i4>0</vt:i4>
      </vt:variant>
      <vt:variant>
        <vt:i4>5</vt:i4>
      </vt:variant>
      <vt:variant>
        <vt:lpwstr/>
      </vt:variant>
      <vt:variant>
        <vt:lpwstr>_Toc444612221</vt:lpwstr>
      </vt:variant>
      <vt:variant>
        <vt:i4>1376307</vt:i4>
      </vt:variant>
      <vt:variant>
        <vt:i4>2</vt:i4>
      </vt:variant>
      <vt:variant>
        <vt:i4>0</vt:i4>
      </vt:variant>
      <vt:variant>
        <vt:i4>5</vt:i4>
      </vt:variant>
      <vt:variant>
        <vt:lpwstr/>
      </vt:variant>
      <vt:variant>
        <vt:lpwstr>_Toc444612220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Administrator</dc:creator>
  <dc:description>v10.1 du 11/09/15</dc:description>
  <cp:lastModifiedBy>VAN BELLE Bernard</cp:lastModifiedBy>
  <cp:revision>3</cp:revision>
  <cp:lastPrinted>2016-04-12T10:19:00Z</cp:lastPrinted>
  <dcterms:created xsi:type="dcterms:W3CDTF">2016-08-24T05:45:00Z</dcterms:created>
  <dcterms:modified xsi:type="dcterms:W3CDTF">2016-08-24T05:48:00Z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