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2AD" w:rsidRPr="008C12AD" w:rsidRDefault="008C12AD" w:rsidP="002741A9">
      <w:pPr>
        <w:jc w:val="both"/>
        <w:rPr>
          <w:rFonts w:ascii="Arial" w:hAnsi="Arial" w:cs="Arial"/>
          <w:sz w:val="22"/>
          <w:szCs w:val="22"/>
        </w:rPr>
        <w:sectPr w:rsidR="008C12AD" w:rsidRPr="008C12AD" w:rsidSect="008C12AD">
          <w:footerReference w:type="default" r:id="rId7"/>
          <w:headerReference w:type="first" r:id="rId8"/>
          <w:footerReference w:type="first" r:id="rId9"/>
          <w:pgSz w:w="11906" w:h="16838" w:code="9"/>
          <w:pgMar w:top="3368" w:right="1474" w:bottom="851" w:left="1474" w:header="2552" w:footer="851" w:gutter="0"/>
          <w:pgNumType w:start="1"/>
          <w:cols w:space="708"/>
          <w:titlePg/>
          <w:docGrid w:linePitch="360"/>
        </w:sectPr>
      </w:pPr>
    </w:p>
    <w:p w:rsidR="004B4B9D" w:rsidRDefault="004B4B9D" w:rsidP="004B4B9D">
      <w:pPr>
        <w:rPr>
          <w:i/>
          <w:highlight w:val="yellow"/>
        </w:rPr>
      </w:pPr>
    </w:p>
    <w:p w:rsidR="008C12AD" w:rsidRPr="00A3229B" w:rsidRDefault="008C12AD" w:rsidP="004B4B9D">
      <w:r w:rsidRPr="00A3229B">
        <w:t>Dublin,</w:t>
      </w:r>
    </w:p>
    <w:p w:rsidR="008C12AD" w:rsidRDefault="008C12AD" w:rsidP="008C12AD"/>
    <w:p w:rsidR="008C12AD" w:rsidRDefault="008C12AD" w:rsidP="008C12AD"/>
    <w:p w:rsidR="008C12AD" w:rsidRDefault="008C12AD" w:rsidP="008C12AD"/>
    <w:p w:rsidR="00CA2CBC" w:rsidRPr="00CA2CBC" w:rsidRDefault="008C12AD" w:rsidP="00CA2CBC">
      <w:pPr>
        <w:spacing w:after="240"/>
        <w:ind w:left="993" w:hanging="993"/>
        <w:rPr>
          <w:b/>
        </w:rPr>
      </w:pPr>
      <w:r>
        <w:rPr>
          <w:b/>
        </w:rPr>
        <w:t xml:space="preserve">Subject: </w:t>
      </w:r>
      <w:r>
        <w:rPr>
          <w:b/>
        </w:rPr>
        <w:tab/>
      </w:r>
      <w:r w:rsidR="00644D6B">
        <w:rPr>
          <w:b/>
        </w:rPr>
        <w:t>Procurement procedure for the p</w:t>
      </w:r>
      <w:r w:rsidR="00CA2CBC" w:rsidRPr="00CA2CBC">
        <w:rPr>
          <w:b/>
        </w:rPr>
        <w:t xml:space="preserve">rovision of sound files to Irish radio stations on developments during European Parliament’s </w:t>
      </w:r>
      <w:proofErr w:type="gramStart"/>
      <w:r w:rsidR="00CA2CBC" w:rsidRPr="00CA2CBC">
        <w:rPr>
          <w:b/>
        </w:rPr>
        <w:t>Plenary</w:t>
      </w:r>
      <w:proofErr w:type="gramEnd"/>
      <w:r w:rsidR="00CA2CBC" w:rsidRPr="00CA2CBC">
        <w:rPr>
          <w:b/>
        </w:rPr>
        <w:t xml:space="preserve"> sessions and the production of occasional podcasts on European Parliament policy issues</w:t>
      </w:r>
      <w:r w:rsidR="00644D6B">
        <w:rPr>
          <w:b/>
        </w:rPr>
        <w:t xml:space="preserve"> - reference </w:t>
      </w:r>
      <w:r w:rsidR="00644D6B" w:rsidRPr="00CA2CBC">
        <w:rPr>
          <w:b/>
        </w:rPr>
        <w:t>COMM/AWD/2018/721</w:t>
      </w:r>
    </w:p>
    <w:p w:rsidR="008C12AD" w:rsidRDefault="008C12AD" w:rsidP="008C12AD">
      <w:pPr>
        <w:spacing w:after="240"/>
      </w:pPr>
      <w:r>
        <w:t>Dear Sir or Madam,</w:t>
      </w:r>
    </w:p>
    <w:p w:rsidR="008C12AD" w:rsidRDefault="008C12AD" w:rsidP="008C12AD">
      <w:pPr>
        <w:spacing w:after="240"/>
        <w:jc w:val="both"/>
      </w:pPr>
      <w:r>
        <w:t>The European Parliament is planning to award a public contract for</w:t>
      </w:r>
      <w:r w:rsidRPr="000A6E3E">
        <w:t xml:space="preserve"> the provision of support services for the </w:t>
      </w:r>
      <w:r w:rsidR="00CA2CBC">
        <w:t>provision of audio files to local radio stations in Ireland relating to various political and EU policy related developments in the European Parliament.</w:t>
      </w:r>
    </w:p>
    <w:p w:rsidR="008C12AD" w:rsidRDefault="00A3229B" w:rsidP="008C12AD">
      <w:pPr>
        <w:spacing w:after="240"/>
        <w:jc w:val="both"/>
      </w:pPr>
      <w:r w:rsidRPr="00A3229B">
        <w:t xml:space="preserve">The </w:t>
      </w:r>
      <w:r w:rsidR="00CF7776">
        <w:t xml:space="preserve">initial </w:t>
      </w:r>
      <w:r w:rsidRPr="00A3229B">
        <w:t>duration of the contract shall be 12 months, renewable 3 times</w:t>
      </w:r>
      <w:r w:rsidR="00CF7776">
        <w:t xml:space="preserve"> for a maximum total duration of 48 months</w:t>
      </w:r>
      <w:r w:rsidRPr="00A3229B">
        <w:t>. Performance of the contract shall not begin until the framework contract is signed. Any renewal of the contract shall take place in accordance with the terms laid down in the contract</w:t>
      </w:r>
      <w:r w:rsidR="008C12AD">
        <w:t>.</w:t>
      </w:r>
    </w:p>
    <w:p w:rsidR="008C12AD" w:rsidRDefault="008C12AD" w:rsidP="00CF7776">
      <w:pPr>
        <w:spacing w:after="120"/>
        <w:jc w:val="both"/>
        <w:rPr>
          <w:lang w:val="fr-FR"/>
        </w:rPr>
      </w:pPr>
      <w:r>
        <w:t>Please find enclosed the procurement documents relating to this contract, which provide the information you will require should you decide to submit a tender. Those documents are as follows:</w:t>
      </w:r>
    </w:p>
    <w:p w:rsidR="008C12AD" w:rsidRDefault="008C12AD" w:rsidP="00CF7776">
      <w:pPr>
        <w:numPr>
          <w:ilvl w:val="0"/>
          <w:numId w:val="2"/>
        </w:numPr>
        <w:spacing w:after="120"/>
        <w:jc w:val="both"/>
      </w:pPr>
      <w:r>
        <w:t>this invitation to tender, which sets out the information needed in order to participate;</w:t>
      </w:r>
    </w:p>
    <w:p w:rsidR="008C12AD" w:rsidRDefault="008C12AD" w:rsidP="00CF7776">
      <w:pPr>
        <w:numPr>
          <w:ilvl w:val="0"/>
          <w:numId w:val="2"/>
        </w:numPr>
        <w:spacing w:after="120"/>
        <w:jc w:val="both"/>
      </w:pPr>
      <w:r>
        <w:t>the conditions for submitting a tender;</w:t>
      </w:r>
    </w:p>
    <w:p w:rsidR="008C12AD" w:rsidRDefault="008C12AD" w:rsidP="00CF7776">
      <w:pPr>
        <w:numPr>
          <w:ilvl w:val="0"/>
          <w:numId w:val="2"/>
        </w:numPr>
        <w:spacing w:after="120"/>
        <w:jc w:val="both"/>
      </w:pPr>
      <w:r>
        <w:t>the specifications and the annexes thereto, providing detailed information on the subject of the contract, the technical specifications, the exclusion, selection and award criteria, and the supporting documents and annexes which you must submit with your tender;</w:t>
      </w:r>
    </w:p>
    <w:p w:rsidR="008C12AD" w:rsidRDefault="008C12AD" w:rsidP="00CF7776">
      <w:pPr>
        <w:numPr>
          <w:ilvl w:val="0"/>
          <w:numId w:val="2"/>
        </w:numPr>
        <w:spacing w:after="120"/>
        <w:jc w:val="both"/>
      </w:pPr>
      <w:proofErr w:type="gramStart"/>
      <w:r>
        <w:t>the</w:t>
      </w:r>
      <w:proofErr w:type="gramEnd"/>
      <w:r>
        <w:t xml:space="preserve"> model contract and the annexes thereto.</w:t>
      </w:r>
    </w:p>
    <w:p w:rsidR="008C12AD" w:rsidRDefault="008C12AD" w:rsidP="008C12AD">
      <w:pPr>
        <w:spacing w:after="240"/>
        <w:jc w:val="both"/>
      </w:pPr>
      <w:r>
        <w:t>If you are interested in taking part in this tender procedure, please submit a tender in one of the European Union’s official languages before the closing date given in this invitation.</w:t>
      </w:r>
    </w:p>
    <w:p w:rsidR="008C12AD" w:rsidRDefault="008C12AD" w:rsidP="008C12AD">
      <w:pPr>
        <w:spacing w:after="240"/>
        <w:jc w:val="both"/>
      </w:pPr>
      <w:r>
        <w:t>You are reminded that, save in the following exceptional circumstances, all contact between tenderers and the European Parliament is prohibited throughout the procedure.</w:t>
      </w:r>
    </w:p>
    <w:p w:rsidR="008C12AD" w:rsidRDefault="008C12AD" w:rsidP="008C12AD">
      <w:pPr>
        <w:spacing w:after="240"/>
        <w:jc w:val="both"/>
      </w:pPr>
      <w:r>
        <w:t>Prior to the closing date for submission of tenders:</w:t>
      </w:r>
    </w:p>
    <w:p w:rsidR="008C12AD" w:rsidRPr="00885311" w:rsidRDefault="008C12AD" w:rsidP="00BA471D">
      <w:pPr>
        <w:numPr>
          <w:ilvl w:val="0"/>
          <w:numId w:val="1"/>
        </w:numPr>
        <w:spacing w:after="240"/>
        <w:jc w:val="both"/>
      </w:pPr>
      <w:r>
        <w:rPr>
          <w:b/>
          <w:i/>
        </w:rPr>
        <w:t>On the initiative of tenderers,</w:t>
      </w:r>
      <w:r>
        <w:t xml:space="preserve"> in order to receive additional information for the sole purpose of clarifying the nature of the contract. Tenderers who wish to obtain additional information </w:t>
      </w:r>
      <w:r>
        <w:lastRenderedPageBreak/>
        <w:t xml:space="preserve">on the documents making up the invitation to tender should submit their questions solely </w:t>
      </w:r>
      <w:r>
        <w:rPr>
          <w:b/>
        </w:rPr>
        <w:t>in writing</w:t>
      </w:r>
      <w:r>
        <w:t xml:space="preserve"> </w:t>
      </w:r>
      <w:r w:rsidR="003327C7">
        <w:t xml:space="preserve">via the </w:t>
      </w:r>
      <w:proofErr w:type="spellStart"/>
      <w:r w:rsidR="003327C7">
        <w:t>eTendering</w:t>
      </w:r>
      <w:proofErr w:type="spellEnd"/>
      <w:r w:rsidR="003327C7">
        <w:t xml:space="preserve"> platform at the following address </w:t>
      </w:r>
      <w:r w:rsidR="00BA471D" w:rsidRPr="00BA471D">
        <w:rPr>
          <w:rStyle w:val="Hyperlink"/>
          <w:i/>
        </w:rPr>
        <w:t>https://etendering.ted.europa.eu/cft/cft-display.html?cftId=4060</w:t>
      </w:r>
    </w:p>
    <w:p w:rsidR="008C12AD" w:rsidRDefault="008C12AD" w:rsidP="008C12AD">
      <w:pPr>
        <w:spacing w:after="240"/>
        <w:jc w:val="both"/>
      </w:pPr>
      <w:r>
        <w:t xml:space="preserve">No response will be given to any request for additional information received less than </w:t>
      </w:r>
      <w:r w:rsidRPr="000A6E3E">
        <w:t>six working days</w:t>
      </w:r>
      <w:r>
        <w:t xml:space="preserve"> before the closing date for submission of tenders.</w:t>
      </w:r>
    </w:p>
    <w:p w:rsidR="008C12AD" w:rsidRDefault="008C12AD" w:rsidP="008C12AD">
      <w:pPr>
        <w:spacing w:after="240"/>
        <w:jc w:val="both"/>
      </w:pPr>
      <w:r>
        <w:t>The European Parliament will not respond to oral questions, questions submitted after the above deadline, or questions which are incorrectly worded or addressed.</w:t>
      </w:r>
    </w:p>
    <w:p w:rsidR="008C12AD" w:rsidRDefault="008C12AD" w:rsidP="008C12AD">
      <w:pPr>
        <w:spacing w:after="240"/>
        <w:jc w:val="both"/>
      </w:pPr>
      <w:r>
        <w:t>Any questions received, together with the relevant replies, will be published on the website where the procurement documents are</w:t>
      </w:r>
      <w:r w:rsidR="00416FC4">
        <w:t xml:space="preserve"> - </w:t>
      </w:r>
      <w:hyperlink r:id="rId10" w:history="1">
        <w:r w:rsidR="00BA471D" w:rsidRPr="00EB3FC9">
          <w:rPr>
            <w:rStyle w:val="Hyperlink"/>
          </w:rPr>
          <w:t>https://etendering.ted.europa.eu/cft/cft-display.html?cftId=4060</w:t>
        </w:r>
      </w:hyperlink>
      <w:r w:rsidR="00BA471D">
        <w:t xml:space="preserve"> </w:t>
      </w:r>
      <w:r>
        <w:t>under the FAQ section.</w:t>
      </w:r>
    </w:p>
    <w:p w:rsidR="008C12AD" w:rsidRDefault="008C12AD" w:rsidP="008C12AD">
      <w:pPr>
        <w:spacing w:after="240"/>
        <w:jc w:val="both"/>
      </w:pPr>
      <w:r>
        <w:t xml:space="preserve">Replies will be </w:t>
      </w:r>
      <w:r w:rsidR="00CF7776">
        <w:t xml:space="preserve">published at the same address </w:t>
      </w:r>
      <w:r>
        <w:t xml:space="preserve">only in </w:t>
      </w:r>
      <w:r>
        <w:rPr>
          <w:i/>
        </w:rPr>
        <w:t>English.</w:t>
      </w:r>
    </w:p>
    <w:p w:rsidR="008C12AD" w:rsidRDefault="008C12AD" w:rsidP="008C12AD">
      <w:pPr>
        <w:numPr>
          <w:ilvl w:val="0"/>
          <w:numId w:val="1"/>
        </w:numPr>
        <w:spacing w:after="240"/>
        <w:jc w:val="both"/>
      </w:pPr>
      <w:r>
        <w:rPr>
          <w:b/>
          <w:i/>
        </w:rPr>
        <w:t>On the initiative of the European Parliament,</w:t>
      </w:r>
      <w:r>
        <w:t xml:space="preserve"> if its departments discover an error, an inaccuracy, an omission or any other material shortcoming in the wording of the contract notice, the invitation to submit a tender or the specifications.</w:t>
      </w:r>
    </w:p>
    <w:p w:rsidR="008C12AD" w:rsidRDefault="008C12AD" w:rsidP="003327C7">
      <w:pPr>
        <w:spacing w:after="240"/>
        <w:jc w:val="both"/>
        <w:rPr>
          <w:i/>
        </w:rPr>
      </w:pPr>
      <w:r>
        <w:t>If appropriate, the additional information and the information referred to above will be communicated on the same date and on strictly identical terms on the website where the procurement documents are accessible</w:t>
      </w:r>
      <w:r w:rsidR="003327C7">
        <w:t>.</w:t>
      </w:r>
    </w:p>
    <w:p w:rsidR="008C12AD" w:rsidRDefault="008C12AD" w:rsidP="008C12AD">
      <w:pPr>
        <w:spacing w:after="240"/>
        <w:jc w:val="both"/>
      </w:pPr>
      <w:r>
        <w:rPr>
          <w:u w:val="single"/>
        </w:rPr>
        <w:t>After the tenders have been opened and on the European Parliament’s initiative:</w:t>
      </w:r>
    </w:p>
    <w:p w:rsidR="008C12AD" w:rsidRDefault="008C12AD" w:rsidP="008C12AD">
      <w:pPr>
        <w:numPr>
          <w:ilvl w:val="0"/>
          <w:numId w:val="1"/>
        </w:numPr>
        <w:spacing w:after="240"/>
        <w:jc w:val="both"/>
      </w:pPr>
      <w:proofErr w:type="gramStart"/>
      <w:r>
        <w:t>if</w:t>
      </w:r>
      <w:proofErr w:type="gramEnd"/>
      <w:r>
        <w:t xml:space="preserve"> the tender gives rise to requests for explanations, or with a view to correcting material errors in the wording of the tender, the European Pa</w:t>
      </w:r>
      <w:bookmarkStart w:id="0" w:name="_GoBack"/>
      <w:bookmarkEnd w:id="0"/>
      <w:r>
        <w:t xml:space="preserve">rliament will contact the tenderer. Any such contact may not result in the terms of the tender being modified </w:t>
      </w:r>
    </w:p>
    <w:p w:rsidR="008C12AD" w:rsidRDefault="008C12AD" w:rsidP="003327C7">
      <w:pPr>
        <w:spacing w:after="240"/>
        <w:jc w:val="both"/>
      </w:pPr>
    </w:p>
    <w:p w:rsidR="008C12AD" w:rsidRPr="003327C7" w:rsidRDefault="008C12AD" w:rsidP="003327C7">
      <w:pPr>
        <w:jc w:val="both"/>
      </w:pPr>
      <w:bookmarkStart w:id="1" w:name="DQC46158"/>
      <w:bookmarkStart w:id="2" w:name="DQC46876"/>
      <w:r w:rsidRPr="003327C7">
        <w:t xml:space="preserve">James </w:t>
      </w:r>
      <w:proofErr w:type="spellStart"/>
      <w:r w:rsidRPr="003327C7">
        <w:t>Temple-Smithson</w:t>
      </w:r>
      <w:proofErr w:type="spellEnd"/>
    </w:p>
    <w:p w:rsidR="008C12AD" w:rsidRPr="003327C7" w:rsidRDefault="008C12AD" w:rsidP="003327C7">
      <w:pPr>
        <w:jc w:val="both"/>
      </w:pPr>
      <w:r w:rsidRPr="003327C7">
        <w:t>Head of Office in Ireland</w:t>
      </w:r>
    </w:p>
    <w:bookmarkEnd w:id="1"/>
    <w:bookmarkEnd w:id="2"/>
    <w:sectPr w:rsidR="008C12AD" w:rsidRPr="003327C7" w:rsidSect="008C12AD">
      <w:footerReference w:type="even" r:id="rId11"/>
      <w:footerReference w:type="default" r:id="rId12"/>
      <w:footerReference w:type="first" r:id="rId13"/>
      <w:type w:val="continuous"/>
      <w:pgSz w:w="11906" w:h="16838" w:code="9"/>
      <w:pgMar w:top="1134" w:right="1418" w:bottom="1418" w:left="1418" w:header="1134" w:footer="50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2AD" w:rsidRPr="008C12AD" w:rsidRDefault="008C12AD">
      <w:r w:rsidRPr="008C12AD">
        <w:separator/>
      </w:r>
    </w:p>
  </w:endnote>
  <w:endnote w:type="continuationSeparator" w:id="0">
    <w:p w:rsidR="008C12AD" w:rsidRPr="008C12AD" w:rsidRDefault="008C12AD">
      <w:r w:rsidRPr="008C12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AD" w:rsidRPr="008C12AD" w:rsidRDefault="008C12AD" w:rsidP="00BF3CCD">
    <w:pPr>
      <w:pStyle w:val="Footer"/>
      <w:tabs>
        <w:tab w:val="clear" w:pos="4153"/>
        <w:tab w:val="clear" w:pos="8306"/>
      </w:tabs>
      <w:spacing w:before="60"/>
      <w:ind w:left="-720" w:right="-625"/>
      <w:jc w:val="center"/>
      <w:rPr>
        <w:color w:val="969696"/>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AD" w:rsidRPr="008C12AD" w:rsidRDefault="008C12AD" w:rsidP="008C12AD">
    <w:pPr>
      <w:pStyle w:val="Footer"/>
      <w:tabs>
        <w:tab w:val="clear" w:pos="4153"/>
        <w:tab w:val="clear" w:pos="8306"/>
      </w:tabs>
      <w:spacing w:line="220" w:lineRule="exact"/>
      <w:rPr>
        <w:rFonts w:ascii="Arial Narrow" w:hAnsi="Arial Narrow" w:cs="Arial"/>
        <w:color w:val="777777"/>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47D" w:rsidRPr="00DD22A4" w:rsidRDefault="00D75E5A" w:rsidP="00E20F09">
    <w:pPr>
      <w:pStyle w:val="Footer"/>
    </w:pPr>
    <w:r w:rsidRPr="00DD22A4">
      <w:tab/>
    </w:r>
    <w:r w:rsidRPr="00DD22A4">
      <w:fldChar w:fldCharType="begin"/>
    </w:r>
    <w:r w:rsidRPr="00DD22A4">
      <w:instrText xml:space="preserve"> PAGE  \* MERGEFORMAT </w:instrText>
    </w:r>
    <w:r w:rsidRPr="00DD22A4">
      <w:fldChar w:fldCharType="separate"/>
    </w:r>
    <w:r>
      <w:rPr>
        <w:noProof/>
      </w:rPr>
      <w:t>2</w:t>
    </w:r>
    <w:r w:rsidRPr="00DD22A4">
      <w:fldChar w:fldCharType="end"/>
    </w:r>
    <w:r w:rsidRPr="00DD22A4">
      <w:t>/</w:t>
    </w:r>
    <w:r w:rsidR="00BA471D">
      <w:rPr>
        <w:noProof/>
      </w:rPr>
      <w:fldChar w:fldCharType="begin"/>
    </w:r>
    <w:r w:rsidR="00BA471D">
      <w:rPr>
        <w:noProof/>
      </w:rPr>
      <w:instrText xml:space="preserve"> NUMPAGES  \* MERGEFORMAT </w:instrText>
    </w:r>
    <w:r w:rsidR="00BA471D">
      <w:rPr>
        <w:noProof/>
      </w:rPr>
      <w:fldChar w:fldCharType="separate"/>
    </w:r>
    <w:r>
      <w:rPr>
        <w:noProof/>
      </w:rPr>
      <w:t>3</w:t>
    </w:r>
    <w:r w:rsidR="00BA471D">
      <w:rPr>
        <w:noProof/>
      </w:rPr>
      <w:fldChar w:fldCharType="end"/>
    </w:r>
    <w:r w:rsidRPr="00DD22A4">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47D" w:rsidRPr="00DD22A4" w:rsidRDefault="00D75E5A" w:rsidP="00DD22A4">
    <w:pPr>
      <w:pStyle w:val="Footer"/>
    </w:pPr>
    <w:r w:rsidRPr="00DD22A4">
      <w:tab/>
    </w:r>
    <w:r w:rsidRPr="00DD22A4">
      <w:fldChar w:fldCharType="begin"/>
    </w:r>
    <w:r w:rsidRPr="00DD22A4">
      <w:instrText xml:space="preserve"> PAGE  \* MERGEFORMAT </w:instrText>
    </w:r>
    <w:r w:rsidRPr="00DD22A4">
      <w:fldChar w:fldCharType="separate"/>
    </w:r>
    <w:r w:rsidR="00416FC4">
      <w:rPr>
        <w:noProof/>
      </w:rPr>
      <w:t>2</w:t>
    </w:r>
    <w:r w:rsidRPr="00DD22A4">
      <w:fldChar w:fldCharType="end"/>
    </w:r>
    <w:r w:rsidRPr="00DD22A4">
      <w:t>/</w:t>
    </w:r>
    <w:r w:rsidR="00BA471D">
      <w:rPr>
        <w:noProof/>
      </w:rPr>
      <w:fldChar w:fldCharType="begin"/>
    </w:r>
    <w:r w:rsidR="00BA471D">
      <w:rPr>
        <w:noProof/>
      </w:rPr>
      <w:instrText xml:space="preserve"> NUMPAGES  \* MERGEFORMAT </w:instrText>
    </w:r>
    <w:r w:rsidR="00BA471D">
      <w:rPr>
        <w:noProof/>
      </w:rPr>
      <w:fldChar w:fldCharType="separate"/>
    </w:r>
    <w:r w:rsidR="00416FC4">
      <w:rPr>
        <w:noProof/>
      </w:rPr>
      <w:t>2</w:t>
    </w:r>
    <w:r w:rsidR="00BA471D">
      <w:rPr>
        <w:noProof/>
      </w:rPr>
      <w:fldChar w:fldCharType="end"/>
    </w:r>
    <w:r w:rsidRPr="00DD22A4">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47D" w:rsidRPr="00DD22A4" w:rsidRDefault="00D75E5A" w:rsidP="00DD22A4">
    <w:pPr>
      <w:pStyle w:val="Footer"/>
      <w:rPr>
        <w:i/>
      </w:rPr>
    </w:pPr>
    <w:r w:rsidRPr="00DD22A4">
      <w:rPr>
        <w:i/>
      </w:rPr>
      <w:tab/>
    </w:r>
    <w:r w:rsidRPr="00DD22A4">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2AD" w:rsidRPr="008C12AD" w:rsidRDefault="008C12AD">
      <w:r w:rsidRPr="008C12AD">
        <w:separator/>
      </w:r>
    </w:p>
  </w:footnote>
  <w:footnote w:type="continuationSeparator" w:id="0">
    <w:p w:rsidR="008C12AD" w:rsidRPr="008C12AD" w:rsidRDefault="008C12AD">
      <w:r w:rsidRPr="008C12A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AD" w:rsidRPr="008C12AD" w:rsidRDefault="008C12AD" w:rsidP="00716483">
    <w:pPr>
      <w:pStyle w:val="Header"/>
      <w:spacing w:line="280" w:lineRule="exact"/>
      <w:rPr>
        <w:rFonts w:ascii="Arial Narrow" w:hAnsi="Arial Narrow" w:cs="Arial"/>
        <w:color w:val="777777"/>
        <w:sz w:val="20"/>
        <w:szCs w:val="20"/>
      </w:rPr>
    </w:pPr>
    <w:r w:rsidRPr="008C12AD">
      <w:rPr>
        <w:rFonts w:ascii="Arial Narrow" w:hAnsi="Arial Narrow" w:cs="Arial"/>
        <w:noProof/>
        <w:color w:val="777777"/>
        <w:sz w:val="20"/>
        <w:szCs w:val="20"/>
      </w:rPr>
      <w:drawing>
        <wp:anchor distT="0" distB="0" distL="114300" distR="114300" simplePos="0" relativeHeight="251658240" behindDoc="0" locked="0" layoutInCell="1" allowOverlap="1">
          <wp:simplePos x="0" y="0"/>
          <wp:positionH relativeFrom="column">
            <wp:posOffset>4909820</wp:posOffset>
          </wp:positionH>
          <wp:positionV relativeFrom="page">
            <wp:posOffset>323850</wp:posOffset>
          </wp:positionV>
          <wp:extent cx="1429385" cy="1134745"/>
          <wp:effectExtent l="0" t="0" r="0" b="0"/>
          <wp:wrapNone/>
          <wp:docPr id="1" name="Picture 1" descr="C:\Users\JERISM~1\AppData\Local\Temp\HepaII\MonoColo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ISM~1\AppData\Local\Temp\HepaII\MonoColo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2AD">
      <w:rPr>
        <w:rFonts w:ascii="Arial Narrow" w:hAnsi="Arial Narrow" w:cs="Arial"/>
        <w:color w:val="777777"/>
        <w:sz w:val="20"/>
        <w:szCs w:val="20"/>
      </w:rPr>
      <w:t>Directorate-General for Communication</w:t>
    </w:r>
  </w:p>
  <w:p w:rsidR="008C12AD" w:rsidRPr="008C12AD" w:rsidRDefault="008C12AD" w:rsidP="00716483">
    <w:pPr>
      <w:pStyle w:val="Header"/>
      <w:spacing w:line="280" w:lineRule="exact"/>
      <w:rPr>
        <w:rFonts w:ascii="Arial Narrow" w:hAnsi="Arial Narrow" w:cs="Arial"/>
        <w:color w:val="777777"/>
        <w:sz w:val="20"/>
        <w:szCs w:val="20"/>
      </w:rPr>
    </w:pPr>
    <w:r w:rsidRPr="008C12AD">
      <w:rPr>
        <w:rFonts w:ascii="Arial Narrow" w:hAnsi="Arial Narrow" w:cs="Arial"/>
        <w:color w:val="777777"/>
        <w:sz w:val="20"/>
        <w:szCs w:val="20"/>
      </w:rPr>
      <w:t>Directorate for Liaison Offices</w:t>
    </w:r>
  </w:p>
  <w:p w:rsidR="008C12AD" w:rsidRPr="008C12AD" w:rsidRDefault="008C12AD" w:rsidP="00BC360A">
    <w:pPr>
      <w:pStyle w:val="Header"/>
      <w:spacing w:line="280" w:lineRule="exact"/>
      <w:rPr>
        <w:rFonts w:ascii="Arial Narrow" w:hAnsi="Arial Narrow" w:cs="Arial"/>
        <w:color w:val="777777"/>
        <w:sz w:val="20"/>
        <w:szCs w:val="20"/>
      </w:rPr>
    </w:pPr>
    <w:r w:rsidRPr="008C12AD">
      <w:rPr>
        <w:rFonts w:ascii="Arial Narrow" w:hAnsi="Arial Narrow" w:cs="Arial"/>
        <w:color w:val="777777"/>
        <w:sz w:val="20"/>
        <w:szCs w:val="20"/>
      </w:rPr>
      <w:t>European Parliament Liaison Office in Ireland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324CD"/>
    <w:multiLevelType w:val="hybridMultilevel"/>
    <w:tmpl w:val="15BC2114"/>
    <w:lvl w:ilvl="0" w:tplc="16925EF6">
      <w:start w:val="1"/>
      <w:numFmt w:val="bullet"/>
      <w:lvlText w:val="-"/>
      <w:lvlJc w:val="left"/>
      <w:pPr>
        <w:tabs>
          <w:tab w:val="num" w:pos="1140"/>
        </w:tabs>
        <w:ind w:left="11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083F7A"/>
    <w:multiLevelType w:val="hybridMultilevel"/>
    <w:tmpl w:val="5D5058A0"/>
    <w:lvl w:ilvl="0" w:tplc="857ECF92">
      <w:start w:val="1"/>
      <w:numFmt w:val="bullet"/>
      <w:lvlText w:val=""/>
      <w:lvlJc w:val="left"/>
      <w:pPr>
        <w:tabs>
          <w:tab w:val="num" w:pos="360"/>
        </w:tabs>
        <w:ind w:left="360" w:hanging="360"/>
      </w:pPr>
      <w:rPr>
        <w:rFonts w:ascii="Symbol" w:hAnsi="Symbol" w:hint="default"/>
      </w:rPr>
    </w:lvl>
    <w:lvl w:ilvl="1" w:tplc="08090019">
      <w:start w:val="1"/>
      <w:numFmt w:val="bullet"/>
      <w:lvlText w:val="o"/>
      <w:lvlJc w:val="left"/>
      <w:pPr>
        <w:tabs>
          <w:tab w:val="num" w:pos="720"/>
        </w:tabs>
        <w:ind w:left="720" w:hanging="360"/>
      </w:pPr>
      <w:rPr>
        <w:rFonts w:ascii="Courier New" w:hAnsi="Courier New" w:hint="default"/>
      </w:rPr>
    </w:lvl>
    <w:lvl w:ilvl="2" w:tplc="0809001B" w:tentative="1">
      <w:start w:val="1"/>
      <w:numFmt w:val="bullet"/>
      <w:lvlText w:val=""/>
      <w:lvlJc w:val="left"/>
      <w:pPr>
        <w:tabs>
          <w:tab w:val="num" w:pos="1440"/>
        </w:tabs>
        <w:ind w:left="1440" w:hanging="360"/>
      </w:pPr>
      <w:rPr>
        <w:rFonts w:ascii="Wingdings" w:hAnsi="Wingdings" w:hint="default"/>
      </w:rPr>
    </w:lvl>
    <w:lvl w:ilvl="3" w:tplc="0809000F" w:tentative="1">
      <w:start w:val="1"/>
      <w:numFmt w:val="bullet"/>
      <w:lvlText w:val=""/>
      <w:lvlJc w:val="left"/>
      <w:pPr>
        <w:tabs>
          <w:tab w:val="num" w:pos="2160"/>
        </w:tabs>
        <w:ind w:left="2160" w:hanging="360"/>
      </w:pPr>
      <w:rPr>
        <w:rFonts w:ascii="Symbol" w:hAnsi="Symbol" w:hint="default"/>
      </w:rPr>
    </w:lvl>
    <w:lvl w:ilvl="4" w:tplc="08090019" w:tentative="1">
      <w:start w:val="1"/>
      <w:numFmt w:val="bullet"/>
      <w:lvlText w:val="o"/>
      <w:lvlJc w:val="left"/>
      <w:pPr>
        <w:tabs>
          <w:tab w:val="num" w:pos="2880"/>
        </w:tabs>
        <w:ind w:left="2880" w:hanging="360"/>
      </w:pPr>
      <w:rPr>
        <w:rFonts w:ascii="Courier New" w:hAnsi="Courier New" w:hint="default"/>
      </w:rPr>
    </w:lvl>
    <w:lvl w:ilvl="5" w:tplc="0809001B" w:tentative="1">
      <w:start w:val="1"/>
      <w:numFmt w:val="bullet"/>
      <w:lvlText w:val=""/>
      <w:lvlJc w:val="left"/>
      <w:pPr>
        <w:tabs>
          <w:tab w:val="num" w:pos="3600"/>
        </w:tabs>
        <w:ind w:left="3600" w:hanging="360"/>
      </w:pPr>
      <w:rPr>
        <w:rFonts w:ascii="Wingdings" w:hAnsi="Wingdings" w:hint="default"/>
      </w:rPr>
    </w:lvl>
    <w:lvl w:ilvl="6" w:tplc="0809000F" w:tentative="1">
      <w:start w:val="1"/>
      <w:numFmt w:val="bullet"/>
      <w:lvlText w:val=""/>
      <w:lvlJc w:val="left"/>
      <w:pPr>
        <w:tabs>
          <w:tab w:val="num" w:pos="4320"/>
        </w:tabs>
        <w:ind w:left="4320" w:hanging="360"/>
      </w:pPr>
      <w:rPr>
        <w:rFonts w:ascii="Symbol" w:hAnsi="Symbol" w:hint="default"/>
      </w:rPr>
    </w:lvl>
    <w:lvl w:ilvl="7" w:tplc="08090019" w:tentative="1">
      <w:start w:val="1"/>
      <w:numFmt w:val="bullet"/>
      <w:lvlText w:val="o"/>
      <w:lvlJc w:val="left"/>
      <w:pPr>
        <w:tabs>
          <w:tab w:val="num" w:pos="5040"/>
        </w:tabs>
        <w:ind w:left="5040" w:hanging="360"/>
      </w:pPr>
      <w:rPr>
        <w:rFonts w:ascii="Courier New" w:hAnsi="Courier New" w:hint="default"/>
      </w:rPr>
    </w:lvl>
    <w:lvl w:ilvl="8" w:tplc="0809001B"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83"/>
    <w:rsid w:val="000333EC"/>
    <w:rsid w:val="00067FC1"/>
    <w:rsid w:val="000A0C5A"/>
    <w:rsid w:val="000A209F"/>
    <w:rsid w:val="000F6810"/>
    <w:rsid w:val="00126533"/>
    <w:rsid w:val="00147CD5"/>
    <w:rsid w:val="0015159F"/>
    <w:rsid w:val="001A172B"/>
    <w:rsid w:val="001B40A6"/>
    <w:rsid w:val="002436D1"/>
    <w:rsid w:val="002741A9"/>
    <w:rsid w:val="0027440E"/>
    <w:rsid w:val="00294419"/>
    <w:rsid w:val="002D6C74"/>
    <w:rsid w:val="002E7431"/>
    <w:rsid w:val="00301CBD"/>
    <w:rsid w:val="00321C04"/>
    <w:rsid w:val="003327C7"/>
    <w:rsid w:val="003477F7"/>
    <w:rsid w:val="00390E0F"/>
    <w:rsid w:val="003C3F73"/>
    <w:rsid w:val="003E74B1"/>
    <w:rsid w:val="003E7C55"/>
    <w:rsid w:val="00416FC4"/>
    <w:rsid w:val="00427F2F"/>
    <w:rsid w:val="00457608"/>
    <w:rsid w:val="00481C62"/>
    <w:rsid w:val="004B4B9D"/>
    <w:rsid w:val="004E7089"/>
    <w:rsid w:val="0051054D"/>
    <w:rsid w:val="005201C9"/>
    <w:rsid w:val="00534AB1"/>
    <w:rsid w:val="0053642E"/>
    <w:rsid w:val="00557646"/>
    <w:rsid w:val="0056011B"/>
    <w:rsid w:val="005724E3"/>
    <w:rsid w:val="005A454D"/>
    <w:rsid w:val="005B27E2"/>
    <w:rsid w:val="005B5594"/>
    <w:rsid w:val="00600689"/>
    <w:rsid w:val="00626E56"/>
    <w:rsid w:val="00636CE8"/>
    <w:rsid w:val="00644D6B"/>
    <w:rsid w:val="0066042D"/>
    <w:rsid w:val="006901CA"/>
    <w:rsid w:val="006B5104"/>
    <w:rsid w:val="006E794F"/>
    <w:rsid w:val="006F0004"/>
    <w:rsid w:val="00716483"/>
    <w:rsid w:val="00744E2E"/>
    <w:rsid w:val="007771B7"/>
    <w:rsid w:val="00792391"/>
    <w:rsid w:val="007A5229"/>
    <w:rsid w:val="007D33D6"/>
    <w:rsid w:val="00807B50"/>
    <w:rsid w:val="00836641"/>
    <w:rsid w:val="008450E2"/>
    <w:rsid w:val="008619D3"/>
    <w:rsid w:val="008B3C14"/>
    <w:rsid w:val="008C12AD"/>
    <w:rsid w:val="008F43A7"/>
    <w:rsid w:val="00911BB6"/>
    <w:rsid w:val="009134B9"/>
    <w:rsid w:val="009258DD"/>
    <w:rsid w:val="009B0AE0"/>
    <w:rsid w:val="00A3229B"/>
    <w:rsid w:val="00A405F0"/>
    <w:rsid w:val="00A47726"/>
    <w:rsid w:val="00A526CA"/>
    <w:rsid w:val="00A6120E"/>
    <w:rsid w:val="00AD2D80"/>
    <w:rsid w:val="00B1147B"/>
    <w:rsid w:val="00B26056"/>
    <w:rsid w:val="00B27A4D"/>
    <w:rsid w:val="00BA471D"/>
    <w:rsid w:val="00BC360A"/>
    <w:rsid w:val="00BE7573"/>
    <w:rsid w:val="00BF0C6A"/>
    <w:rsid w:val="00BF3CCD"/>
    <w:rsid w:val="00C5188D"/>
    <w:rsid w:val="00C531AF"/>
    <w:rsid w:val="00C8749F"/>
    <w:rsid w:val="00C95E79"/>
    <w:rsid w:val="00CA2CBC"/>
    <w:rsid w:val="00CB25D2"/>
    <w:rsid w:val="00CC2CF0"/>
    <w:rsid w:val="00CD736E"/>
    <w:rsid w:val="00CF7776"/>
    <w:rsid w:val="00D15DD2"/>
    <w:rsid w:val="00D555FD"/>
    <w:rsid w:val="00D6569D"/>
    <w:rsid w:val="00D75E5A"/>
    <w:rsid w:val="00D90C29"/>
    <w:rsid w:val="00DB1B03"/>
    <w:rsid w:val="00E1090B"/>
    <w:rsid w:val="00E15D83"/>
    <w:rsid w:val="00E424EF"/>
    <w:rsid w:val="00E523D7"/>
    <w:rsid w:val="00E61F50"/>
    <w:rsid w:val="00EF493F"/>
    <w:rsid w:val="00F01988"/>
    <w:rsid w:val="00F07952"/>
    <w:rsid w:val="00F24629"/>
    <w:rsid w:val="00F26B5E"/>
    <w:rsid w:val="00F4051E"/>
    <w:rsid w:val="00F42A08"/>
    <w:rsid w:val="00F65011"/>
    <w:rsid w:val="00F713EB"/>
    <w:rsid w:val="00F90D70"/>
    <w:rsid w:val="00FB0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0C631F5F-9622-4F79-A69A-CE8C1FA1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55FD"/>
    <w:pPr>
      <w:tabs>
        <w:tab w:val="center" w:pos="4153"/>
        <w:tab w:val="right" w:pos="8306"/>
      </w:tabs>
    </w:pPr>
  </w:style>
  <w:style w:type="paragraph" w:styleId="Footer">
    <w:name w:val="footer"/>
    <w:aliases w:val="Footer1"/>
    <w:basedOn w:val="Normal"/>
    <w:rsid w:val="00D555FD"/>
    <w:pPr>
      <w:tabs>
        <w:tab w:val="center" w:pos="4153"/>
        <w:tab w:val="right" w:pos="8306"/>
      </w:tabs>
    </w:pPr>
  </w:style>
  <w:style w:type="paragraph" w:customStyle="1" w:styleId="Footer2">
    <w:name w:val="Footer2"/>
    <w:basedOn w:val="Footer"/>
    <w:next w:val="Normal"/>
    <w:rsid w:val="008C12AD"/>
    <w:pPr>
      <w:tabs>
        <w:tab w:val="clear" w:pos="4153"/>
        <w:tab w:val="clear" w:pos="8306"/>
        <w:tab w:val="right" w:pos="9921"/>
      </w:tabs>
      <w:spacing w:after="240"/>
      <w:ind w:left="-850"/>
    </w:pPr>
    <w:rPr>
      <w:rFonts w:ascii="Arial" w:hAnsi="Arial" w:cs="Arial"/>
      <w:b/>
      <w:snapToGrid w:val="0"/>
      <w:sz w:val="48"/>
      <w:szCs w:val="20"/>
      <w:lang w:val="en-US" w:eastAsia="en-US"/>
    </w:rPr>
  </w:style>
  <w:style w:type="character" w:styleId="Hyperlink">
    <w:name w:val="Hyperlink"/>
    <w:rsid w:val="008C12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tendering.ted.europa.eu/cft/cft-display.html?cftId=406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75B0AF3B</Template>
  <TotalTime>53</TotalTime>
  <Pages>2</Pages>
  <Words>566</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ERISMANN Jérémy</dc:creator>
  <cp:keywords/>
  <dc:description/>
  <cp:lastModifiedBy>O'CONNOR Harry</cp:lastModifiedBy>
  <cp:revision>5</cp:revision>
  <dcterms:created xsi:type="dcterms:W3CDTF">2018-09-17T06:53:00Z</dcterms:created>
  <dcterms:modified xsi:type="dcterms:W3CDTF">2018-10-19T15:37:00Z</dcterms:modified>
</cp:coreProperties>
</file>