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1345" w14:textId="77777777" w:rsidR="00BD0B76" w:rsidRPr="0016702E" w:rsidRDefault="00BD0B76">
      <w:pPr>
        <w:spacing w:before="240"/>
        <w:jc w:val="center"/>
      </w:pPr>
    </w:p>
    <w:p w14:paraId="06C4FFA2" w14:textId="77777777" w:rsidR="00FE00E6" w:rsidRPr="00727767" w:rsidRDefault="00FE00E6">
      <w:pPr>
        <w:spacing w:before="240"/>
        <w:jc w:val="center"/>
      </w:pPr>
    </w:p>
    <w:p w14:paraId="4E8F9ADB" w14:textId="77777777" w:rsidR="00BD0B76" w:rsidRPr="00727767" w:rsidRDefault="00BD0B76">
      <w:pPr>
        <w:spacing w:before="240"/>
        <w:jc w:val="center"/>
      </w:pPr>
    </w:p>
    <w:p w14:paraId="76349574" w14:textId="77777777" w:rsidR="00BD0B76" w:rsidRPr="009C26A4" w:rsidRDefault="00BD0B76">
      <w:pPr>
        <w:spacing w:before="240"/>
        <w:jc w:val="center"/>
        <w:rPr>
          <w:b/>
        </w:rPr>
      </w:pPr>
    </w:p>
    <w:p w14:paraId="5A56716F" w14:textId="77777777" w:rsidR="00BD0B76" w:rsidRPr="009C26A4" w:rsidRDefault="00BD0B76">
      <w:pPr>
        <w:spacing w:before="240"/>
        <w:jc w:val="center"/>
        <w:rPr>
          <w:b/>
        </w:rPr>
      </w:pPr>
    </w:p>
    <w:p w14:paraId="414A978D" w14:textId="77777777" w:rsidR="00BD0B76" w:rsidRPr="009C26A4" w:rsidRDefault="00BD0B76">
      <w:pPr>
        <w:spacing w:before="240"/>
        <w:jc w:val="center"/>
        <w:rPr>
          <w:b/>
        </w:rPr>
      </w:pPr>
    </w:p>
    <w:p w14:paraId="65A4C919" w14:textId="77777777" w:rsidR="00BD0B76" w:rsidRPr="009C26A4" w:rsidRDefault="00BD0B76">
      <w:pPr>
        <w:spacing w:before="240"/>
        <w:jc w:val="center"/>
      </w:pPr>
      <w:r w:rsidRPr="009C26A4">
        <w:rPr>
          <w:b/>
        </w:rPr>
        <w:t>DIRECTORATE-GENERAL</w:t>
      </w:r>
      <w:r w:rsidR="00E428A7" w:rsidRPr="009C26A4">
        <w:t xml:space="preserve"> </w:t>
      </w:r>
      <w:r w:rsidR="00E428A7" w:rsidRPr="009C26A4">
        <w:rPr>
          <w:b/>
          <w:noProof/>
          <w:snapToGrid w:val="0"/>
        </w:rPr>
        <w:t>FOR COMMUNICATION</w:t>
      </w:r>
    </w:p>
    <w:p w14:paraId="7DC3ABDB" w14:textId="77777777" w:rsidR="00BD0B76" w:rsidRPr="009C26A4" w:rsidRDefault="00BD0B76">
      <w:pPr>
        <w:spacing w:before="480"/>
        <w:jc w:val="center"/>
        <w:rPr>
          <w:b/>
        </w:rPr>
      </w:pPr>
      <w:r w:rsidRPr="009C26A4">
        <w:rPr>
          <w:b/>
        </w:rPr>
        <w:t>DIRECTORATE</w:t>
      </w:r>
      <w:r w:rsidR="00E428A7" w:rsidRPr="009C26A4">
        <w:t xml:space="preserve"> </w:t>
      </w:r>
      <w:r w:rsidR="00E428A7" w:rsidRPr="009C26A4">
        <w:rPr>
          <w:b/>
          <w:noProof/>
          <w:snapToGrid w:val="0"/>
        </w:rPr>
        <w:t>FOR LIAISON OFFICES</w:t>
      </w:r>
    </w:p>
    <w:p w14:paraId="56A4E05A" w14:textId="77777777" w:rsidR="00BD0B76" w:rsidRPr="009C26A4" w:rsidRDefault="00BD0B76">
      <w:pPr>
        <w:spacing w:before="480"/>
        <w:jc w:val="center"/>
        <w:rPr>
          <w:b/>
        </w:rPr>
      </w:pPr>
    </w:p>
    <w:p w14:paraId="0E3FB6D6" w14:textId="2B2442DE" w:rsidR="00BD0B76" w:rsidRPr="009C26A4" w:rsidRDefault="00BD0B76">
      <w:pPr>
        <w:spacing w:before="480"/>
        <w:jc w:val="center"/>
        <w:rPr>
          <w:b/>
        </w:rPr>
      </w:pPr>
      <w:r w:rsidRPr="009C26A4">
        <w:rPr>
          <w:b/>
        </w:rPr>
        <w:t>SPECIFICATIONS</w:t>
      </w:r>
    </w:p>
    <w:p w14:paraId="3D55F6ED" w14:textId="77777777" w:rsidR="00BD0B76" w:rsidRPr="009C26A4" w:rsidRDefault="00BD0B76">
      <w:pPr>
        <w:spacing w:before="2040"/>
        <w:jc w:val="center"/>
        <w:rPr>
          <w:b/>
          <w:u w:val="single"/>
        </w:rPr>
      </w:pPr>
      <w:r w:rsidRPr="009C26A4">
        <w:rPr>
          <w:b/>
          <w:u w:val="single"/>
        </w:rPr>
        <w:t>INVITATION TO TENDER</w:t>
      </w:r>
    </w:p>
    <w:p w14:paraId="25EEAB01" w14:textId="31C35068" w:rsidR="00BD0B76" w:rsidRPr="009C26A4" w:rsidRDefault="00B94C2E">
      <w:pPr>
        <w:spacing w:before="720" w:after="240"/>
        <w:jc w:val="center"/>
        <w:rPr>
          <w:b/>
        </w:rPr>
      </w:pPr>
      <w:r w:rsidRPr="009C26A4">
        <w:rPr>
          <w:b/>
        </w:rPr>
        <w:t>Open</w:t>
      </w:r>
      <w:r w:rsidR="00BD0B76" w:rsidRPr="009C26A4">
        <w:rPr>
          <w:b/>
        </w:rPr>
        <w:t xml:space="preserve"> procedure</w:t>
      </w:r>
    </w:p>
    <w:p w14:paraId="50231516" w14:textId="073D613A" w:rsidR="00E428A7" w:rsidRPr="009C26A4" w:rsidRDefault="00EC50BD" w:rsidP="00E428A7">
      <w:pPr>
        <w:jc w:val="center"/>
        <w:rPr>
          <w:b/>
          <w:noProof/>
          <w:snapToGrid w:val="0"/>
        </w:rPr>
      </w:pPr>
      <w:r w:rsidRPr="009C26A4">
        <w:rPr>
          <w:b/>
        </w:rPr>
        <w:t>Performance of teaching and related tasks as part of the European Parliament Ambassador School educational programme.</w:t>
      </w:r>
    </w:p>
    <w:p w14:paraId="6CECD105" w14:textId="77777777" w:rsidR="00BD0B76" w:rsidRPr="009C26A4" w:rsidRDefault="00BD0B76">
      <w:pPr>
        <w:spacing w:after="240"/>
        <w:jc w:val="center"/>
        <w:rPr>
          <w:b/>
        </w:rPr>
      </w:pPr>
    </w:p>
    <w:p w14:paraId="41DB2C64" w14:textId="6D612B5B" w:rsidR="00BD0B76" w:rsidRPr="00C16484" w:rsidRDefault="00C16484" w:rsidP="00C16484">
      <w:pPr>
        <w:jc w:val="center"/>
        <w:rPr>
          <w:b/>
        </w:rPr>
      </w:pPr>
      <w:r w:rsidRPr="00C16484">
        <w:rPr>
          <w:b/>
        </w:rPr>
        <w:t>COMM/AWD/2020/529</w:t>
      </w:r>
    </w:p>
    <w:p w14:paraId="1042E115" w14:textId="77777777" w:rsidR="00BD0B76" w:rsidRPr="009C26A4" w:rsidRDefault="00BD0B76">
      <w:pPr>
        <w:rPr>
          <w:b/>
        </w:rPr>
        <w:sectPr w:rsidR="00BD0B76" w:rsidRPr="009C26A4" w:rsidSect="00EB3822">
          <w:footerReference w:type="even" r:id="rId8"/>
          <w:footerReference w:type="default" r:id="rId9"/>
          <w:headerReference w:type="first" r:id="rId10"/>
          <w:footerReference w:type="first" r:id="rId11"/>
          <w:type w:val="continuous"/>
          <w:pgSz w:w="11907" w:h="16840" w:code="9"/>
          <w:pgMar w:top="1021" w:right="1418" w:bottom="737" w:left="1418" w:header="567" w:footer="720" w:gutter="0"/>
          <w:cols w:space="708"/>
          <w:noEndnote/>
          <w:titlePg/>
          <w:docGrid w:linePitch="381"/>
        </w:sectPr>
      </w:pPr>
    </w:p>
    <w:p w14:paraId="70C1938E" w14:textId="77777777" w:rsidR="00BD0B76" w:rsidRPr="009C26A4" w:rsidRDefault="00BD0B76" w:rsidP="002F495A">
      <w:pPr>
        <w:numPr>
          <w:ilvl w:val="0"/>
          <w:numId w:val="6"/>
        </w:numPr>
        <w:tabs>
          <w:tab w:val="clear" w:pos="360"/>
          <w:tab w:val="left" w:pos="567"/>
        </w:tabs>
        <w:spacing w:after="240"/>
        <w:ind w:left="567" w:hanging="567"/>
        <w:jc w:val="both"/>
        <w:rPr>
          <w:b/>
        </w:rPr>
      </w:pPr>
      <w:r w:rsidRPr="009C26A4">
        <w:rPr>
          <w:b/>
        </w:rPr>
        <w:lastRenderedPageBreak/>
        <w:t>INTRODUCTION</w:t>
      </w:r>
    </w:p>
    <w:p w14:paraId="4D469FE1" w14:textId="77777777" w:rsidR="00BD0B76" w:rsidRPr="009C26A4" w:rsidRDefault="00BD0B76" w:rsidP="00A73235">
      <w:pPr>
        <w:spacing w:after="120"/>
        <w:jc w:val="both"/>
      </w:pPr>
      <w:r w:rsidRPr="009C26A4">
        <w:t>These specifications are an integral part of the documents drawn up for the invitation to tender for the contract referred to. The documents relating to the invitation to tender comprise:</w:t>
      </w:r>
    </w:p>
    <w:p w14:paraId="297046CB" w14:textId="77777777" w:rsidR="00FF606E" w:rsidRPr="009C26A4" w:rsidRDefault="00FF606E" w:rsidP="002F495A">
      <w:pPr>
        <w:numPr>
          <w:ilvl w:val="0"/>
          <w:numId w:val="4"/>
        </w:numPr>
        <w:spacing w:after="120"/>
        <w:jc w:val="both"/>
      </w:pPr>
      <w:r w:rsidRPr="009C26A4">
        <w:t>the contract notice;</w:t>
      </w:r>
    </w:p>
    <w:p w14:paraId="53589B3C" w14:textId="77777777" w:rsidR="00BD0B76" w:rsidRPr="009C26A4" w:rsidRDefault="00BD0B76" w:rsidP="002F495A">
      <w:pPr>
        <w:numPr>
          <w:ilvl w:val="0"/>
          <w:numId w:val="4"/>
        </w:numPr>
        <w:spacing w:after="240"/>
        <w:ind w:left="420" w:hanging="420"/>
        <w:jc w:val="both"/>
      </w:pPr>
      <w:r w:rsidRPr="009C26A4">
        <w:t>a letter of invitation to tender;</w:t>
      </w:r>
    </w:p>
    <w:p w14:paraId="09481D33" w14:textId="77777777" w:rsidR="00BD0B76" w:rsidRPr="009C26A4" w:rsidRDefault="00BD0B76" w:rsidP="002F495A">
      <w:pPr>
        <w:numPr>
          <w:ilvl w:val="0"/>
          <w:numId w:val="4"/>
        </w:numPr>
        <w:spacing w:after="240"/>
        <w:ind w:left="420" w:hanging="420"/>
        <w:jc w:val="both"/>
      </w:pPr>
      <w:r w:rsidRPr="009C26A4">
        <w:t>conditions for submitting a tender ;</w:t>
      </w:r>
    </w:p>
    <w:p w14:paraId="2E94DD2F" w14:textId="77777777" w:rsidR="00BD0B76" w:rsidRPr="009C26A4" w:rsidRDefault="00BD0B76" w:rsidP="002F495A">
      <w:pPr>
        <w:numPr>
          <w:ilvl w:val="0"/>
          <w:numId w:val="4"/>
        </w:numPr>
        <w:spacing w:after="240"/>
        <w:ind w:left="420" w:hanging="420"/>
        <w:jc w:val="both"/>
      </w:pPr>
      <w:r w:rsidRPr="009C26A4">
        <w:t>specifications and the annexes thereto;</w:t>
      </w:r>
    </w:p>
    <w:p w14:paraId="1FF61BA2" w14:textId="70FEE0DE" w:rsidR="00BD0B76" w:rsidRPr="009C26A4" w:rsidRDefault="00BD0B76" w:rsidP="002F495A">
      <w:pPr>
        <w:numPr>
          <w:ilvl w:val="0"/>
          <w:numId w:val="4"/>
        </w:numPr>
        <w:spacing w:after="120"/>
        <w:ind w:left="420" w:hanging="420"/>
        <w:jc w:val="both"/>
      </w:pPr>
      <w:r w:rsidRPr="009C26A4">
        <w:t>and a model contract and the annexes thereto.</w:t>
      </w:r>
    </w:p>
    <w:p w14:paraId="7D05A48C" w14:textId="77777777" w:rsidR="002E0D7B" w:rsidRPr="009C26A4" w:rsidRDefault="002E0D7B" w:rsidP="002E0D7B">
      <w:pPr>
        <w:spacing w:after="120"/>
        <w:jc w:val="both"/>
      </w:pPr>
    </w:p>
    <w:p w14:paraId="3F8EDB3C" w14:textId="65EEC322" w:rsidR="00BD0B76" w:rsidRPr="009C26A4" w:rsidRDefault="00BD0B76" w:rsidP="00A73235">
      <w:pPr>
        <w:spacing w:after="120"/>
        <w:jc w:val="both"/>
      </w:pPr>
      <w:r w:rsidRPr="009C26A4">
        <w:t>These specifications are supplemented by the following annexes, which are an integral part thereof:</w:t>
      </w:r>
    </w:p>
    <w:p w14:paraId="667D6E47" w14:textId="13C0DF13" w:rsidR="00BD0B76" w:rsidRPr="009C26A4" w:rsidRDefault="00BD0B76">
      <w:pPr>
        <w:spacing w:before="120" w:after="120"/>
        <w:ind w:left="1260" w:hanging="1260"/>
        <w:jc w:val="both"/>
      </w:pPr>
      <w:r w:rsidRPr="009C26A4">
        <w:t xml:space="preserve">Annex I: </w:t>
      </w:r>
      <w:r w:rsidRPr="009C26A4">
        <w:tab/>
        <w:t>Technical specifications</w:t>
      </w:r>
    </w:p>
    <w:p w14:paraId="74FC7FB1" w14:textId="5A55CBA6" w:rsidR="00BD0B76" w:rsidRPr="009C26A4" w:rsidRDefault="00A24DED">
      <w:pPr>
        <w:spacing w:before="120" w:after="120"/>
        <w:ind w:left="1260" w:hanging="1260"/>
        <w:jc w:val="both"/>
      </w:pPr>
      <w:r w:rsidRPr="009C26A4">
        <w:t>Annex II:</w:t>
      </w:r>
      <w:r w:rsidR="00BD0B76" w:rsidRPr="009C26A4">
        <w:t xml:space="preserve"> </w:t>
      </w:r>
      <w:r w:rsidR="00BD0B76" w:rsidRPr="009C26A4">
        <w:tab/>
        <w:t>The European Parliament's environmental policy</w:t>
      </w:r>
      <w:r w:rsidR="002043F0">
        <w:t xml:space="preserve"> </w:t>
      </w:r>
      <w:r w:rsidR="005E220C" w:rsidRPr="009C26A4">
        <w:t>(in a separate document)</w:t>
      </w:r>
    </w:p>
    <w:p w14:paraId="15BBAAB4" w14:textId="059B796D" w:rsidR="00BD0B76" w:rsidRPr="009C26A4" w:rsidRDefault="00BD0B76">
      <w:pPr>
        <w:spacing w:before="120" w:after="120"/>
        <w:ind w:left="1260" w:hanging="1260"/>
        <w:jc w:val="both"/>
      </w:pPr>
      <w:r w:rsidRPr="009C26A4">
        <w:t xml:space="preserve">Annex III: </w:t>
      </w:r>
      <w:r w:rsidRPr="009C26A4">
        <w:tab/>
        <w:t xml:space="preserve">Declaration on the tenderer's honour concerning the exclusion </w:t>
      </w:r>
      <w:r w:rsidR="00724C09" w:rsidRPr="009C26A4">
        <w:t xml:space="preserve">and the selection </w:t>
      </w:r>
      <w:r w:rsidRPr="009C26A4">
        <w:t>criteria</w:t>
      </w:r>
    </w:p>
    <w:p w14:paraId="5B90898A" w14:textId="388DECC4" w:rsidR="00BD0B76" w:rsidRPr="009C26A4" w:rsidRDefault="00A24DED">
      <w:pPr>
        <w:spacing w:before="120" w:after="120"/>
        <w:ind w:left="1260" w:hanging="1260"/>
        <w:jc w:val="both"/>
      </w:pPr>
      <w:r w:rsidRPr="009C26A4">
        <w:t>Annex IV:</w:t>
      </w:r>
      <w:r w:rsidR="00BD0B76" w:rsidRPr="009C26A4">
        <w:t xml:space="preserve"> </w:t>
      </w:r>
      <w:r w:rsidR="00BD0B76" w:rsidRPr="009C26A4">
        <w:tab/>
        <w:t>Financial identification form - supplier</w:t>
      </w:r>
      <w:r w:rsidR="005E220C" w:rsidRPr="009C26A4">
        <w:t xml:space="preserve"> (in a separate document)</w:t>
      </w:r>
    </w:p>
    <w:p w14:paraId="52F95E48" w14:textId="37C0EE73" w:rsidR="00BD0B76" w:rsidRPr="009C26A4" w:rsidRDefault="00A24DED">
      <w:pPr>
        <w:spacing w:before="120" w:after="120"/>
        <w:ind w:left="1260" w:hanging="1260"/>
        <w:jc w:val="both"/>
      </w:pPr>
      <w:r w:rsidRPr="009C26A4">
        <w:t xml:space="preserve">Annex V: </w:t>
      </w:r>
      <w:r w:rsidR="00BD0B76" w:rsidRPr="009C26A4">
        <w:tab/>
        <w:t xml:space="preserve">Information sheet concerning </w:t>
      </w:r>
      <w:r w:rsidR="00FF606E" w:rsidRPr="009C26A4">
        <w:t>group</w:t>
      </w:r>
      <w:r w:rsidR="00BD0B76" w:rsidRPr="009C26A4">
        <w:t>s of economic operators</w:t>
      </w:r>
    </w:p>
    <w:p w14:paraId="43A2C041" w14:textId="7F88840C" w:rsidR="00BD0B76" w:rsidRPr="009C26A4" w:rsidRDefault="00A24DED">
      <w:pPr>
        <w:spacing w:before="120" w:after="120"/>
        <w:ind w:left="1260" w:hanging="1260"/>
        <w:jc w:val="both"/>
      </w:pPr>
      <w:r w:rsidRPr="009C26A4">
        <w:t xml:space="preserve">Annex VI: </w:t>
      </w:r>
      <w:r w:rsidR="00BD0B76" w:rsidRPr="009C26A4">
        <w:tab/>
        <w:t>Declaration concerning subcontractors</w:t>
      </w:r>
    </w:p>
    <w:p w14:paraId="55B65E1F" w14:textId="77777777" w:rsidR="00BD0B76" w:rsidRPr="009C26A4" w:rsidRDefault="00BD0B76">
      <w:pPr>
        <w:spacing w:before="120" w:after="120"/>
        <w:ind w:left="1260" w:hanging="1260"/>
        <w:jc w:val="both"/>
      </w:pPr>
      <w:r w:rsidRPr="009C26A4">
        <w:t xml:space="preserve">Annex VII: </w:t>
      </w:r>
      <w:r w:rsidRPr="009C26A4">
        <w:tab/>
        <w:t>Financial data sheet</w:t>
      </w:r>
    </w:p>
    <w:p w14:paraId="5045A34D" w14:textId="2F0CA114" w:rsidR="00BD0B76" w:rsidRPr="009C26A4" w:rsidRDefault="005E220C" w:rsidP="00772303">
      <w:pPr>
        <w:spacing w:before="120" w:after="120"/>
        <w:ind w:left="1276" w:hanging="1276"/>
        <w:jc w:val="both"/>
      </w:pPr>
      <w:r w:rsidRPr="009C26A4" w:rsidDel="005E220C">
        <w:t xml:space="preserve"> </w:t>
      </w:r>
      <w:r w:rsidR="00BD0B76" w:rsidRPr="009C26A4">
        <w:br w:type="page"/>
      </w:r>
      <w:r w:rsidR="00BD0B76" w:rsidRPr="009C26A4">
        <w:rPr>
          <w:b/>
        </w:rPr>
        <w:lastRenderedPageBreak/>
        <w:t>PART I – GENERAL INFORMATION</w:t>
      </w:r>
    </w:p>
    <w:p w14:paraId="1A96AB39" w14:textId="77777777" w:rsidR="00BD0B76" w:rsidRPr="009C26A4" w:rsidRDefault="00BD0B76" w:rsidP="002F495A">
      <w:pPr>
        <w:numPr>
          <w:ilvl w:val="0"/>
          <w:numId w:val="6"/>
        </w:numPr>
        <w:tabs>
          <w:tab w:val="clear" w:pos="360"/>
          <w:tab w:val="left" w:pos="567"/>
        </w:tabs>
        <w:spacing w:before="240" w:after="240"/>
        <w:ind w:left="567" w:hanging="567"/>
        <w:jc w:val="both"/>
        <w:rPr>
          <w:b/>
        </w:rPr>
      </w:pPr>
      <w:r w:rsidRPr="009C26A4">
        <w:rPr>
          <w:b/>
        </w:rPr>
        <w:t>SUBJECT OF THE CONTRACT</w:t>
      </w:r>
    </w:p>
    <w:p w14:paraId="213372EA" w14:textId="460DA01C" w:rsidR="00BD0B76" w:rsidRPr="009C26A4" w:rsidRDefault="00BD0B76">
      <w:pPr>
        <w:spacing w:after="240"/>
        <w:jc w:val="both"/>
        <w:rPr>
          <w:b/>
        </w:rPr>
      </w:pPr>
      <w:r w:rsidRPr="009C26A4">
        <w:t>In accordance with the provisions of Regulation (E</w:t>
      </w:r>
      <w:r w:rsidR="00A6110E" w:rsidRPr="009C26A4">
        <w:t>U</w:t>
      </w:r>
      <w:r w:rsidRPr="009C26A4">
        <w:t xml:space="preserve">, Euratom) No </w:t>
      </w:r>
      <w:r w:rsidR="00DC3EB4" w:rsidRPr="009C26A4">
        <w:t>2018/1046</w:t>
      </w:r>
      <w:r w:rsidRPr="009C26A4">
        <w:t xml:space="preserve"> of </w:t>
      </w:r>
      <w:r w:rsidR="00A6110E" w:rsidRPr="009C26A4">
        <w:t xml:space="preserve">the European Parliament and of the Council of </w:t>
      </w:r>
      <w:r w:rsidR="00DC3EB4" w:rsidRPr="009C26A4">
        <w:t>18 July</w:t>
      </w:r>
      <w:r w:rsidRPr="009C26A4">
        <w:t> 201</w:t>
      </w:r>
      <w:r w:rsidR="00DC3EB4" w:rsidRPr="009C26A4">
        <w:t>8</w:t>
      </w:r>
      <w:r w:rsidRPr="009C26A4">
        <w:t xml:space="preserve"> on the </w:t>
      </w:r>
      <w:r w:rsidR="00A73235" w:rsidRPr="009C26A4">
        <w:t>f</w:t>
      </w:r>
      <w:r w:rsidRPr="009C26A4">
        <w:t xml:space="preserve">inancial </w:t>
      </w:r>
      <w:r w:rsidR="00A73235" w:rsidRPr="009C26A4">
        <w:t>rules</w:t>
      </w:r>
      <w:r w:rsidRPr="009C26A4">
        <w:t xml:space="preserve"> applicable to the general budget of the European Union, the European Parliament has decided to issue this invitation to tender for </w:t>
      </w:r>
      <w:r w:rsidR="00E428A7" w:rsidRPr="009C26A4">
        <w:rPr>
          <w:b/>
        </w:rPr>
        <w:t>performance of teaching and related tasks as part of the European Parliament Ambassador School educational programme.</w:t>
      </w:r>
    </w:p>
    <w:p w14:paraId="2FC95E12" w14:textId="77777777" w:rsidR="00BD0B76" w:rsidRPr="009C26A4" w:rsidRDefault="00BD0B76" w:rsidP="002F495A">
      <w:pPr>
        <w:numPr>
          <w:ilvl w:val="0"/>
          <w:numId w:val="6"/>
        </w:numPr>
        <w:tabs>
          <w:tab w:val="clear" w:pos="360"/>
          <w:tab w:val="left" w:pos="567"/>
        </w:tabs>
        <w:spacing w:before="240" w:after="240"/>
        <w:ind w:left="567" w:hanging="567"/>
        <w:jc w:val="both"/>
        <w:rPr>
          <w:b/>
        </w:rPr>
      </w:pPr>
      <w:r w:rsidRPr="009C26A4">
        <w:rPr>
          <w:b/>
        </w:rPr>
        <w:t>DESCRIPTION, PURPOSE AND ESTIMATED VALUE OF THE CONTRACT</w:t>
      </w:r>
    </w:p>
    <w:p w14:paraId="619345F2" w14:textId="77777777" w:rsidR="00EC50BD" w:rsidRPr="009C26A4" w:rsidRDefault="00EC50BD" w:rsidP="00E428A7">
      <w:pPr>
        <w:autoSpaceDE w:val="0"/>
        <w:autoSpaceDN w:val="0"/>
        <w:adjustRightInd w:val="0"/>
        <w:jc w:val="both"/>
        <w:rPr>
          <w:color w:val="000000"/>
        </w:rPr>
      </w:pPr>
    </w:p>
    <w:p w14:paraId="5B2AA052" w14:textId="4B345669" w:rsidR="00BD0B76" w:rsidRPr="009C26A4" w:rsidRDefault="00E428A7" w:rsidP="00E428A7">
      <w:pPr>
        <w:autoSpaceDE w:val="0"/>
        <w:autoSpaceDN w:val="0"/>
        <w:adjustRightInd w:val="0"/>
        <w:jc w:val="both"/>
        <w:rPr>
          <w:snapToGrid w:val="0"/>
        </w:rPr>
      </w:pPr>
      <w:r w:rsidRPr="009C26A4">
        <w:rPr>
          <w:snapToGrid w:val="0"/>
        </w:rPr>
        <w:t xml:space="preserve">The Directorate for Liaison Offices is running an educational programme, which is aimed at pupils in secondary schools and vocational schools. This educational programme is entitled </w:t>
      </w:r>
      <w:r w:rsidRPr="009C26A4">
        <w:rPr>
          <w:i/>
          <w:snapToGrid w:val="0"/>
        </w:rPr>
        <w:t>the</w:t>
      </w:r>
      <w:r w:rsidRPr="009C26A4">
        <w:rPr>
          <w:snapToGrid w:val="0"/>
        </w:rPr>
        <w:t xml:space="preserve"> </w:t>
      </w:r>
      <w:r w:rsidRPr="009C26A4">
        <w:rPr>
          <w:i/>
          <w:iCs/>
          <w:snapToGrid w:val="0"/>
        </w:rPr>
        <w:t>European Parliament Ambassador School</w:t>
      </w:r>
      <w:r w:rsidRPr="009C26A4">
        <w:rPr>
          <w:snapToGrid w:val="0"/>
        </w:rPr>
        <w:t xml:space="preserve">. It is aimed at stimulating awareness of Europe and European parliamentary democracy among young people by giving them active knowledge of the European Union and the European Parliament in particular. This involves not just teaching them facts about the European Union but also providing them with the experience of European citizenship: what the EU means for daily life and what you can do to make sure that in future Europe is how you want it to be. Pupils and teachers who have completed the programme </w:t>
      </w:r>
      <w:r w:rsidRPr="009C26A4">
        <w:rPr>
          <w:i/>
          <w:snapToGrid w:val="0"/>
        </w:rPr>
        <w:t>the</w:t>
      </w:r>
      <w:r w:rsidRPr="009C26A4">
        <w:rPr>
          <w:snapToGrid w:val="0"/>
        </w:rPr>
        <w:t xml:space="preserve"> </w:t>
      </w:r>
      <w:r w:rsidRPr="009C26A4">
        <w:rPr>
          <w:i/>
          <w:iCs/>
          <w:snapToGrid w:val="0"/>
        </w:rPr>
        <w:t xml:space="preserve">European Parliament Ambassador School </w:t>
      </w:r>
      <w:r w:rsidRPr="009C26A4">
        <w:rPr>
          <w:snapToGrid w:val="0"/>
        </w:rPr>
        <w:t>know the possibilities that their European citizenship offers them and are aware of the role which the European Parliament plays in the European decision-making process. In this way, the aim is to ensure that young people are aware of their prospects for action and, among other things, that they understand the importance of voting in the European elections.</w:t>
      </w:r>
    </w:p>
    <w:p w14:paraId="31E3D735" w14:textId="57E03105" w:rsidR="00684C84" w:rsidRPr="009C26A4" w:rsidRDefault="00684C84" w:rsidP="00E428A7">
      <w:pPr>
        <w:autoSpaceDE w:val="0"/>
        <w:autoSpaceDN w:val="0"/>
        <w:adjustRightInd w:val="0"/>
        <w:jc w:val="both"/>
        <w:rPr>
          <w:snapToGrid w:val="0"/>
        </w:rPr>
      </w:pPr>
    </w:p>
    <w:p w14:paraId="50D974BE" w14:textId="122C4B22" w:rsidR="00684C84" w:rsidRPr="009C26A4" w:rsidRDefault="00684C84" w:rsidP="00684C84">
      <w:pPr>
        <w:autoSpaceDE w:val="0"/>
        <w:autoSpaceDN w:val="0"/>
        <w:adjustRightInd w:val="0"/>
        <w:jc w:val="both"/>
      </w:pPr>
      <w:r w:rsidRPr="009C26A4">
        <w:rPr>
          <w:color w:val="000000"/>
        </w:rPr>
        <w:t>Following a successful pilot phase during the 2016/2017 school year in approximately 100 schools from six EU Member States, the EP Bureau endorsed the implementation of the European Ambassador School Programme EU-wide during the period leading up to the European Elections 2019 (EE 2019).</w:t>
      </w:r>
      <w:r w:rsidRPr="009C26A4">
        <w:t xml:space="preserve"> </w:t>
      </w:r>
    </w:p>
    <w:p w14:paraId="01A08D86" w14:textId="77777777" w:rsidR="00684C84" w:rsidRPr="009C26A4" w:rsidRDefault="00684C84" w:rsidP="00684C84">
      <w:pPr>
        <w:autoSpaceDE w:val="0"/>
        <w:autoSpaceDN w:val="0"/>
        <w:adjustRightInd w:val="0"/>
        <w:jc w:val="both"/>
      </w:pPr>
    </w:p>
    <w:p w14:paraId="5453FA8E" w14:textId="493A4394" w:rsidR="00684C84" w:rsidRPr="009C26A4" w:rsidRDefault="00684C84" w:rsidP="00684C84">
      <w:pPr>
        <w:autoSpaceDE w:val="0"/>
        <w:autoSpaceDN w:val="0"/>
        <w:adjustRightInd w:val="0"/>
        <w:jc w:val="both"/>
        <w:rPr>
          <w:color w:val="000000"/>
        </w:rPr>
      </w:pPr>
      <w:r w:rsidRPr="009C26A4">
        <w:t xml:space="preserve">Over the years, the EPAS </w:t>
      </w:r>
      <w:r w:rsidRPr="009C26A4">
        <w:rPr>
          <w:color w:val="000000"/>
        </w:rPr>
        <w:t xml:space="preserve">network has increased. At present, more than </w:t>
      </w:r>
      <w:r w:rsidRPr="009C26A4">
        <w:t>1500 schools have been certified, about 3 700 teachers have been appointed senior ambassadors, and 22 768 students became part of the junior ambassadors’ network committed to the Europ</w:t>
      </w:r>
      <w:r w:rsidR="00055B39" w:rsidRPr="009C26A4">
        <w:t>ean project and enthusiastic about disseminating</w:t>
      </w:r>
      <w:r w:rsidRPr="009C26A4">
        <w:t xml:space="preserve"> it among their peers.</w:t>
      </w:r>
    </w:p>
    <w:p w14:paraId="306BDB29" w14:textId="77777777" w:rsidR="00684C84" w:rsidRPr="009C26A4" w:rsidRDefault="00684C84" w:rsidP="00E428A7">
      <w:pPr>
        <w:autoSpaceDE w:val="0"/>
        <w:autoSpaceDN w:val="0"/>
        <w:adjustRightInd w:val="0"/>
        <w:jc w:val="both"/>
      </w:pPr>
    </w:p>
    <w:p w14:paraId="4EC5653B" w14:textId="018F1A35" w:rsidR="00684C84" w:rsidRPr="009C26A4" w:rsidRDefault="00055B39" w:rsidP="00E428A7">
      <w:pPr>
        <w:autoSpaceDE w:val="0"/>
        <w:autoSpaceDN w:val="0"/>
        <w:adjustRightInd w:val="0"/>
        <w:jc w:val="both"/>
        <w:rPr>
          <w:snapToGrid w:val="0"/>
        </w:rPr>
      </w:pPr>
      <w:r w:rsidRPr="009C26A4">
        <w:t>In September 2019, t</w:t>
      </w:r>
      <w:r w:rsidR="00684C84" w:rsidRPr="009C26A4">
        <w:t>he positive results</w:t>
      </w:r>
      <w:r w:rsidRPr="009C26A4">
        <w:t xml:space="preserve"> encouraged the EP</w:t>
      </w:r>
      <w:r w:rsidR="00684C84" w:rsidRPr="009C26A4">
        <w:t xml:space="preserve"> Bureau to approve the continuation of the programme until </w:t>
      </w:r>
      <w:r w:rsidRPr="009C26A4">
        <w:t>2024.</w:t>
      </w:r>
    </w:p>
    <w:p w14:paraId="0D554415" w14:textId="77777777" w:rsidR="00E428A7" w:rsidRPr="009C26A4" w:rsidRDefault="00E428A7" w:rsidP="00E428A7">
      <w:pPr>
        <w:autoSpaceDE w:val="0"/>
        <w:autoSpaceDN w:val="0"/>
        <w:adjustRightInd w:val="0"/>
        <w:jc w:val="both"/>
        <w:rPr>
          <w:snapToGrid w:val="0"/>
        </w:rPr>
      </w:pPr>
    </w:p>
    <w:p w14:paraId="1B218863" w14:textId="77777777" w:rsidR="000F67E7" w:rsidRPr="00727767" w:rsidRDefault="000F67E7" w:rsidP="000F67E7">
      <w:pPr>
        <w:autoSpaceDE w:val="0"/>
        <w:autoSpaceDN w:val="0"/>
        <w:adjustRightInd w:val="0"/>
        <w:jc w:val="both"/>
        <w:rPr>
          <w:snapToGrid w:val="0"/>
        </w:rPr>
      </w:pPr>
      <w:r w:rsidRPr="009C26A4">
        <w:rPr>
          <w:snapToGrid w:val="0"/>
        </w:rPr>
        <w:t xml:space="preserve">To ensure the smooth running of </w:t>
      </w:r>
      <w:r w:rsidRPr="009C26A4">
        <w:rPr>
          <w:i/>
          <w:iCs/>
          <w:snapToGrid w:val="0"/>
        </w:rPr>
        <w:t xml:space="preserve">European Parliament Ambassador School </w:t>
      </w:r>
      <w:r w:rsidRPr="009C26A4">
        <w:rPr>
          <w:snapToGrid w:val="0"/>
        </w:rPr>
        <w:t xml:space="preserve">the European Parliament is looking for a contractor who will support the European Parliament Liaison Office (herewith in </w:t>
      </w:r>
      <w:r w:rsidRPr="009C26A4">
        <w:rPr>
          <w:i/>
          <w:snapToGrid w:val="0"/>
        </w:rPr>
        <w:t>the EPLO</w:t>
      </w:r>
      <w:r w:rsidRPr="009C26A4">
        <w:rPr>
          <w:snapToGrid w:val="0"/>
        </w:rPr>
        <w:t>) in teachers training, school evaluation tasks and school support as well as other related tasks included in this educational programme</w:t>
      </w:r>
      <w:r w:rsidRPr="0016702E">
        <w:rPr>
          <w:snapToGrid w:val="0"/>
        </w:rPr>
        <w:t>.</w:t>
      </w:r>
    </w:p>
    <w:p w14:paraId="7079FEA0" w14:textId="77777777" w:rsidR="000F67E7" w:rsidRPr="009C26A4" w:rsidRDefault="000F67E7" w:rsidP="000F67E7">
      <w:pPr>
        <w:autoSpaceDE w:val="0"/>
        <w:autoSpaceDN w:val="0"/>
        <w:adjustRightInd w:val="0"/>
        <w:jc w:val="both"/>
        <w:rPr>
          <w:snapToGrid w:val="0"/>
        </w:rPr>
      </w:pPr>
    </w:p>
    <w:p w14:paraId="479A4C13" w14:textId="700EC92C" w:rsidR="0073549E" w:rsidRPr="009C26A4" w:rsidRDefault="000F67E7" w:rsidP="000F67E7">
      <w:pPr>
        <w:autoSpaceDE w:val="0"/>
        <w:autoSpaceDN w:val="0"/>
        <w:adjustRightInd w:val="0"/>
        <w:jc w:val="both"/>
        <w:rPr>
          <w:snapToGrid w:val="0"/>
        </w:rPr>
      </w:pPr>
      <w:r w:rsidRPr="009C26A4">
        <w:rPr>
          <w:snapToGrid w:val="0"/>
        </w:rPr>
        <w:t xml:space="preserve">The educational programme, </w:t>
      </w:r>
      <w:r w:rsidRPr="009C26A4">
        <w:rPr>
          <w:i/>
          <w:snapToGrid w:val="0"/>
        </w:rPr>
        <w:t xml:space="preserve">the </w:t>
      </w:r>
      <w:r w:rsidRPr="009C26A4">
        <w:rPr>
          <w:i/>
          <w:iCs/>
          <w:snapToGrid w:val="0"/>
        </w:rPr>
        <w:t>European Parliament Ambassador School</w:t>
      </w:r>
      <w:r w:rsidRPr="009C26A4">
        <w:rPr>
          <w:snapToGrid w:val="0"/>
        </w:rPr>
        <w:t>, is conducted by at least one teacher per participating school. These teachers will be provided with seminars on how the Programme works, the role and activities of the European Parliament, how to teach on EU matters and other relevant topics</w:t>
      </w:r>
      <w:r w:rsidR="0073549E" w:rsidRPr="009C26A4">
        <w:rPr>
          <w:snapToGrid w:val="0"/>
        </w:rPr>
        <w:t xml:space="preserve">. In addition, the Contractor shall support teachers on planning and developing online activities and contribute to enhancing the digital dimension of the </w:t>
      </w:r>
      <w:r w:rsidR="00235AFC" w:rsidRPr="009C26A4">
        <w:rPr>
          <w:snapToGrid w:val="0"/>
        </w:rPr>
        <w:t>programme. These</w:t>
      </w:r>
      <w:r w:rsidRPr="009C26A4">
        <w:rPr>
          <w:snapToGrid w:val="0"/>
        </w:rPr>
        <w:t xml:space="preserve"> seminars will be attended by EPLO staff, expert speakers, one or more MEPs and the Contractor in the role of facilitator and education expert. In addition, teachers will be provided with relevant teaching </w:t>
      </w:r>
      <w:r w:rsidR="00235AFC" w:rsidRPr="009C26A4">
        <w:rPr>
          <w:snapToGrid w:val="0"/>
        </w:rPr>
        <w:t>material.</w:t>
      </w:r>
      <w:r w:rsidR="0073549E" w:rsidRPr="009C26A4">
        <w:rPr>
          <w:snapToGrid w:val="0"/>
        </w:rPr>
        <w:t xml:space="preserve"> </w:t>
      </w:r>
    </w:p>
    <w:p w14:paraId="558B5881" w14:textId="77777777" w:rsidR="000F67E7" w:rsidRPr="009C26A4" w:rsidRDefault="000F67E7" w:rsidP="000F67E7">
      <w:pPr>
        <w:autoSpaceDE w:val="0"/>
        <w:autoSpaceDN w:val="0"/>
        <w:adjustRightInd w:val="0"/>
        <w:jc w:val="both"/>
        <w:rPr>
          <w:snapToGrid w:val="0"/>
        </w:rPr>
      </w:pPr>
    </w:p>
    <w:p w14:paraId="5DCF1E3C" w14:textId="77777777" w:rsidR="000F67E7" w:rsidRPr="009C26A4" w:rsidRDefault="000F67E7" w:rsidP="000F67E7">
      <w:pPr>
        <w:autoSpaceDE w:val="0"/>
        <w:autoSpaceDN w:val="0"/>
        <w:adjustRightInd w:val="0"/>
        <w:jc w:val="both"/>
        <w:rPr>
          <w:snapToGrid w:val="0"/>
        </w:rPr>
      </w:pPr>
      <w:r w:rsidRPr="009C26A4">
        <w:rPr>
          <w:snapToGrid w:val="0"/>
        </w:rPr>
        <w:lastRenderedPageBreak/>
        <w:t xml:space="preserve">The following activities are to be conducted at the school as part of </w:t>
      </w:r>
      <w:r w:rsidRPr="009C26A4">
        <w:rPr>
          <w:i/>
          <w:snapToGrid w:val="0"/>
        </w:rPr>
        <w:t xml:space="preserve">the </w:t>
      </w:r>
      <w:r w:rsidRPr="009C26A4">
        <w:rPr>
          <w:i/>
          <w:iCs/>
          <w:snapToGrid w:val="0"/>
        </w:rPr>
        <w:t xml:space="preserve">European Parliament Ambassador School </w:t>
      </w:r>
      <w:r w:rsidRPr="009C26A4">
        <w:rPr>
          <w:snapToGrid w:val="0"/>
        </w:rPr>
        <w:t>teaching programme:</w:t>
      </w:r>
    </w:p>
    <w:p w14:paraId="6DC7C7AC" w14:textId="77777777" w:rsidR="000F67E7" w:rsidRPr="009C26A4" w:rsidRDefault="000F67E7" w:rsidP="000F67E7">
      <w:pPr>
        <w:autoSpaceDE w:val="0"/>
        <w:autoSpaceDN w:val="0"/>
        <w:adjustRightInd w:val="0"/>
        <w:jc w:val="both"/>
        <w:rPr>
          <w:snapToGrid w:val="0"/>
        </w:rPr>
      </w:pPr>
    </w:p>
    <w:p w14:paraId="2444168F" w14:textId="4F99586E" w:rsidR="000F67E7" w:rsidRPr="009C26A4" w:rsidRDefault="000F67E7" w:rsidP="000F67E7">
      <w:pPr>
        <w:numPr>
          <w:ilvl w:val="0"/>
          <w:numId w:val="18"/>
        </w:numPr>
        <w:autoSpaceDE w:val="0"/>
        <w:autoSpaceDN w:val="0"/>
        <w:adjustRightInd w:val="0"/>
        <w:jc w:val="both"/>
        <w:rPr>
          <w:snapToGrid w:val="0"/>
        </w:rPr>
      </w:pPr>
      <w:r w:rsidRPr="009C26A4">
        <w:rPr>
          <w:snapToGrid w:val="0"/>
        </w:rPr>
        <w:t xml:space="preserve">The participating teacher/teachers or other supportive school staff becomes/become Senior ambassador/ambassadors responsible for the implementation of the programme in the school. </w:t>
      </w:r>
    </w:p>
    <w:p w14:paraId="63223634" w14:textId="77777777" w:rsidR="000F67E7" w:rsidRPr="009C26A4" w:rsidRDefault="000F67E7" w:rsidP="000F67E7">
      <w:pPr>
        <w:autoSpaceDE w:val="0"/>
        <w:autoSpaceDN w:val="0"/>
        <w:adjustRightInd w:val="0"/>
        <w:jc w:val="both"/>
        <w:rPr>
          <w:snapToGrid w:val="0"/>
        </w:rPr>
      </w:pPr>
    </w:p>
    <w:p w14:paraId="328642F5" w14:textId="77777777" w:rsidR="000F67E7" w:rsidRPr="009C26A4" w:rsidRDefault="000F67E7" w:rsidP="000F67E7">
      <w:pPr>
        <w:numPr>
          <w:ilvl w:val="0"/>
          <w:numId w:val="18"/>
        </w:numPr>
        <w:autoSpaceDE w:val="0"/>
        <w:autoSpaceDN w:val="0"/>
        <w:adjustRightInd w:val="0"/>
        <w:jc w:val="both"/>
        <w:rPr>
          <w:snapToGrid w:val="0"/>
        </w:rPr>
      </w:pPr>
      <w:r w:rsidRPr="009C26A4">
        <w:rPr>
          <w:snapToGrid w:val="0"/>
        </w:rPr>
        <w:t>The participating teacher designates a number of pupils as Junior Ambassadors responsible for informing other students about the main European parliamentary democracy messages. They also carry out special EU-related tasks such as organising the Europe Day events, European markets, games, and initiating contact with other MEPs, schools, organisations, town halls and so on.</w:t>
      </w:r>
    </w:p>
    <w:p w14:paraId="63C37137" w14:textId="77777777" w:rsidR="000F67E7" w:rsidRPr="009C26A4" w:rsidRDefault="000F67E7" w:rsidP="000F67E7">
      <w:pPr>
        <w:autoSpaceDE w:val="0"/>
        <w:autoSpaceDN w:val="0"/>
        <w:adjustRightInd w:val="0"/>
        <w:ind w:left="720"/>
        <w:jc w:val="both"/>
        <w:rPr>
          <w:snapToGrid w:val="0"/>
        </w:rPr>
      </w:pPr>
    </w:p>
    <w:p w14:paraId="5BDB3E5E" w14:textId="77777777" w:rsidR="000F67E7" w:rsidRPr="009C26A4" w:rsidRDefault="000F67E7" w:rsidP="000F67E7">
      <w:pPr>
        <w:numPr>
          <w:ilvl w:val="0"/>
          <w:numId w:val="17"/>
        </w:numPr>
        <w:autoSpaceDE w:val="0"/>
        <w:autoSpaceDN w:val="0"/>
        <w:adjustRightInd w:val="0"/>
        <w:contextualSpacing/>
        <w:jc w:val="both"/>
        <w:rPr>
          <w:rFonts w:eastAsia="Calibri"/>
          <w:lang w:eastAsia="en-US"/>
        </w:rPr>
      </w:pPr>
      <w:r w:rsidRPr="009C26A4">
        <w:rPr>
          <w:rFonts w:eastAsia="Calibri"/>
          <w:lang w:eastAsia="en-US"/>
        </w:rPr>
        <w:t xml:space="preserve">The Senior Ambassador takes the pupils through the </w:t>
      </w:r>
      <w:r w:rsidRPr="009C26A4">
        <w:rPr>
          <w:rFonts w:eastAsia="Calibri"/>
          <w:b/>
          <w:lang w:eastAsia="en-US"/>
        </w:rPr>
        <w:t>EU</w:t>
      </w:r>
      <w:r w:rsidRPr="009C26A4">
        <w:rPr>
          <w:rFonts w:eastAsia="Calibri"/>
          <w:lang w:eastAsia="en-US"/>
        </w:rPr>
        <w:t xml:space="preserve"> </w:t>
      </w:r>
      <w:r w:rsidRPr="009C26A4">
        <w:rPr>
          <w:rFonts w:eastAsia="Calibri"/>
          <w:b/>
          <w:lang w:eastAsia="en-US"/>
        </w:rPr>
        <w:t>teaching materials</w:t>
      </w:r>
      <w:r w:rsidRPr="009C26A4">
        <w:rPr>
          <w:rFonts w:eastAsia="Calibri"/>
          <w:lang w:eastAsia="en-US"/>
        </w:rPr>
        <w:t xml:space="preserve"> and ensures that the Junior Ambassadors are able to share their knowledge about the European institutions and the European Parliament with their classmates, encouraging them to become active European citizens.</w:t>
      </w:r>
    </w:p>
    <w:p w14:paraId="04F491DD" w14:textId="77777777" w:rsidR="000F67E7" w:rsidRPr="009C26A4" w:rsidRDefault="000F67E7" w:rsidP="000F67E7">
      <w:pPr>
        <w:autoSpaceDE w:val="0"/>
        <w:autoSpaceDN w:val="0"/>
        <w:adjustRightInd w:val="0"/>
        <w:ind w:left="720"/>
        <w:contextualSpacing/>
        <w:jc w:val="both"/>
        <w:rPr>
          <w:rFonts w:eastAsia="Calibri"/>
          <w:lang w:eastAsia="en-US"/>
        </w:rPr>
      </w:pPr>
    </w:p>
    <w:p w14:paraId="6BF5D8D8" w14:textId="77777777" w:rsidR="000F67E7" w:rsidRPr="009C26A4" w:rsidRDefault="000F67E7" w:rsidP="000F67E7">
      <w:pPr>
        <w:autoSpaceDE w:val="0"/>
        <w:autoSpaceDN w:val="0"/>
        <w:adjustRightInd w:val="0"/>
        <w:ind w:left="720"/>
        <w:contextualSpacing/>
        <w:jc w:val="both"/>
        <w:rPr>
          <w:rFonts w:eastAsia="Calibri"/>
          <w:lang w:eastAsia="en-US"/>
        </w:rPr>
      </w:pPr>
    </w:p>
    <w:p w14:paraId="518CBCF8" w14:textId="586DCFF5" w:rsidR="000F67E7" w:rsidRPr="009C26A4" w:rsidRDefault="000F67E7" w:rsidP="000F67E7">
      <w:pPr>
        <w:numPr>
          <w:ilvl w:val="0"/>
          <w:numId w:val="17"/>
        </w:numPr>
        <w:autoSpaceDE w:val="0"/>
        <w:autoSpaceDN w:val="0"/>
        <w:adjustRightInd w:val="0"/>
        <w:contextualSpacing/>
        <w:jc w:val="both"/>
        <w:rPr>
          <w:rFonts w:eastAsia="Calibri"/>
          <w:lang w:eastAsia="en-US"/>
        </w:rPr>
      </w:pPr>
      <w:r w:rsidRPr="009C26A4">
        <w:rPr>
          <w:rFonts w:eastAsia="Calibri"/>
          <w:lang w:eastAsia="en-US"/>
        </w:rPr>
        <w:t xml:space="preserve">With the help of the Senior Ambassador, the Junior Ambassador sets up an EU </w:t>
      </w:r>
      <w:r w:rsidRPr="009C26A4">
        <w:rPr>
          <w:rFonts w:eastAsia="Calibri"/>
          <w:b/>
          <w:lang w:eastAsia="en-US"/>
        </w:rPr>
        <w:t>Info</w:t>
      </w:r>
      <w:r w:rsidR="00055B39" w:rsidRPr="009C26A4">
        <w:rPr>
          <w:rFonts w:eastAsia="Calibri"/>
          <w:b/>
          <w:lang w:eastAsia="en-US"/>
        </w:rPr>
        <w:t xml:space="preserve"> </w:t>
      </w:r>
      <w:r w:rsidRPr="009C26A4">
        <w:rPr>
          <w:rFonts w:eastAsia="Calibri"/>
          <w:b/>
          <w:lang w:eastAsia="en-US"/>
        </w:rPr>
        <w:t>point</w:t>
      </w:r>
      <w:r w:rsidRPr="009C26A4">
        <w:rPr>
          <w:rFonts w:eastAsia="Calibri"/>
          <w:lang w:eastAsia="en-US"/>
        </w:rPr>
        <w:t>, an information and activity point dedicated to Europe and the European institutions (this could include brochures, a website and social media contacts and other information material).</w:t>
      </w:r>
    </w:p>
    <w:p w14:paraId="1F3A6284" w14:textId="77777777" w:rsidR="000F67E7" w:rsidRPr="009C26A4" w:rsidRDefault="000F67E7" w:rsidP="000F67E7">
      <w:pPr>
        <w:autoSpaceDE w:val="0"/>
        <w:autoSpaceDN w:val="0"/>
        <w:adjustRightInd w:val="0"/>
        <w:jc w:val="both"/>
        <w:rPr>
          <w:rFonts w:eastAsia="SymbolMT"/>
          <w:snapToGrid w:val="0"/>
        </w:rPr>
      </w:pPr>
    </w:p>
    <w:p w14:paraId="1DE2356D" w14:textId="5B692039" w:rsidR="000F67E7" w:rsidRPr="009C26A4" w:rsidRDefault="000F67E7" w:rsidP="000F67E7">
      <w:pPr>
        <w:numPr>
          <w:ilvl w:val="0"/>
          <w:numId w:val="17"/>
        </w:numPr>
        <w:autoSpaceDE w:val="0"/>
        <w:autoSpaceDN w:val="0"/>
        <w:adjustRightInd w:val="0"/>
        <w:contextualSpacing/>
        <w:jc w:val="both"/>
        <w:rPr>
          <w:rFonts w:eastAsia="Calibri"/>
          <w:lang w:eastAsia="en-US"/>
        </w:rPr>
      </w:pPr>
      <w:r w:rsidRPr="009C26A4">
        <w:rPr>
          <w:rFonts w:eastAsia="Calibri"/>
          <w:lang w:eastAsia="en-US"/>
        </w:rPr>
        <w:t xml:space="preserve">Every year, preferably around 9 May, (Europe Day), the Senior Ambassador together with the Junior Ambassadors organises a </w:t>
      </w:r>
      <w:r w:rsidRPr="009C26A4">
        <w:rPr>
          <w:rFonts w:eastAsia="Calibri"/>
          <w:b/>
          <w:lang w:eastAsia="en-US"/>
        </w:rPr>
        <w:t>Europe Day event</w:t>
      </w:r>
      <w:r w:rsidRPr="009C26A4">
        <w:rPr>
          <w:rFonts w:eastAsia="Calibri"/>
          <w:lang w:eastAsia="en-US"/>
        </w:rPr>
        <w:t>. This could be, for example, a debating competition on an EU subject, an exhibition on EU matters</w:t>
      </w:r>
      <w:r w:rsidR="00055B39" w:rsidRPr="009C26A4">
        <w:rPr>
          <w:rFonts w:eastAsia="Calibri"/>
          <w:lang w:eastAsia="en-US"/>
        </w:rPr>
        <w:t>, a</w:t>
      </w:r>
      <w:r w:rsidR="00235AFC" w:rsidRPr="009C26A4">
        <w:rPr>
          <w:rFonts w:eastAsia="Calibri"/>
          <w:lang w:eastAsia="en-US"/>
        </w:rPr>
        <w:t xml:space="preserve"> </w:t>
      </w:r>
      <w:r w:rsidRPr="009C26A4">
        <w:rPr>
          <w:rFonts w:eastAsia="Calibri"/>
          <w:lang w:eastAsia="en-US"/>
        </w:rPr>
        <w:t>European market selling all kinds of European products or a European music festival</w:t>
      </w:r>
      <w:r w:rsidR="00055B39" w:rsidRPr="009C26A4">
        <w:rPr>
          <w:rFonts w:eastAsia="Calibri"/>
          <w:lang w:eastAsia="en-US"/>
        </w:rPr>
        <w:t>.</w:t>
      </w:r>
      <w:r w:rsidRPr="009C26A4">
        <w:rPr>
          <w:rFonts w:eastAsia="Calibri"/>
          <w:lang w:eastAsia="en-US"/>
        </w:rPr>
        <w:t xml:space="preserve"> </w:t>
      </w:r>
    </w:p>
    <w:p w14:paraId="0A28576A" w14:textId="77777777" w:rsidR="000F67E7" w:rsidRPr="009C26A4" w:rsidRDefault="000F67E7" w:rsidP="000F67E7">
      <w:pPr>
        <w:autoSpaceDE w:val="0"/>
        <w:autoSpaceDN w:val="0"/>
        <w:adjustRightInd w:val="0"/>
        <w:ind w:left="720"/>
        <w:contextualSpacing/>
        <w:jc w:val="both"/>
        <w:rPr>
          <w:rFonts w:eastAsia="Calibri"/>
          <w:lang w:eastAsia="en-US"/>
        </w:rPr>
      </w:pPr>
    </w:p>
    <w:p w14:paraId="48AE358E" w14:textId="77777777" w:rsidR="000F67E7" w:rsidRPr="009C26A4" w:rsidRDefault="000F67E7" w:rsidP="000F67E7">
      <w:pPr>
        <w:numPr>
          <w:ilvl w:val="0"/>
          <w:numId w:val="17"/>
        </w:numPr>
        <w:autoSpaceDE w:val="0"/>
        <w:autoSpaceDN w:val="0"/>
        <w:adjustRightInd w:val="0"/>
        <w:contextualSpacing/>
        <w:jc w:val="both"/>
        <w:rPr>
          <w:rFonts w:eastAsia="Calibri"/>
          <w:lang w:eastAsia="en-US"/>
        </w:rPr>
      </w:pPr>
      <w:r w:rsidRPr="009C26A4">
        <w:rPr>
          <w:rFonts w:eastAsia="Calibri"/>
          <w:lang w:eastAsia="en-US"/>
        </w:rPr>
        <w:t xml:space="preserve">Together with the Senior Ambassador, the Junior Ambassadors, can organise other complementary </w:t>
      </w:r>
      <w:r w:rsidRPr="009C26A4">
        <w:rPr>
          <w:rFonts w:eastAsia="Calibri"/>
          <w:b/>
          <w:lang w:eastAsia="en-US"/>
        </w:rPr>
        <w:t>activities</w:t>
      </w:r>
      <w:r w:rsidRPr="009C26A4">
        <w:rPr>
          <w:rFonts w:eastAsia="Calibri"/>
          <w:lang w:eastAsia="en-US"/>
        </w:rPr>
        <w:t>, inside and outside the school, related to EU matters and EP initiatives and campaigns. This could be, for example, a debate with an MEP or presentations on various EU policies, such as those on the environment, human rights and agriculture.</w:t>
      </w:r>
    </w:p>
    <w:p w14:paraId="5E495D54" w14:textId="77777777" w:rsidR="000F67E7" w:rsidRPr="009C26A4" w:rsidRDefault="000F67E7" w:rsidP="000F67E7">
      <w:pPr>
        <w:autoSpaceDE w:val="0"/>
        <w:autoSpaceDN w:val="0"/>
        <w:adjustRightInd w:val="0"/>
        <w:ind w:left="720"/>
        <w:contextualSpacing/>
        <w:jc w:val="both"/>
        <w:rPr>
          <w:rFonts w:eastAsia="Calibri"/>
          <w:lang w:eastAsia="en-US"/>
        </w:rPr>
      </w:pPr>
    </w:p>
    <w:p w14:paraId="3F8E4A10" w14:textId="77777777" w:rsidR="000F67E7" w:rsidRPr="009C26A4" w:rsidRDefault="000F67E7" w:rsidP="000F67E7">
      <w:pPr>
        <w:numPr>
          <w:ilvl w:val="0"/>
          <w:numId w:val="17"/>
        </w:numPr>
        <w:autoSpaceDE w:val="0"/>
        <w:autoSpaceDN w:val="0"/>
        <w:adjustRightInd w:val="0"/>
        <w:contextualSpacing/>
        <w:jc w:val="both"/>
        <w:rPr>
          <w:rFonts w:eastAsia="Calibri"/>
          <w:lang w:eastAsia="en-US"/>
        </w:rPr>
      </w:pPr>
      <w:r w:rsidRPr="009C26A4">
        <w:rPr>
          <w:rFonts w:eastAsia="Calibri"/>
          <w:lang w:eastAsia="en-US"/>
        </w:rPr>
        <w:t xml:space="preserve">During the school year coinciding with the </w:t>
      </w:r>
      <w:r w:rsidRPr="009C26A4">
        <w:rPr>
          <w:rFonts w:eastAsia="Calibri"/>
          <w:b/>
          <w:lang w:eastAsia="en-US"/>
        </w:rPr>
        <w:t>European Elections</w:t>
      </w:r>
      <w:r w:rsidRPr="009C26A4">
        <w:rPr>
          <w:rFonts w:eastAsia="Calibri"/>
          <w:lang w:eastAsia="en-US"/>
        </w:rPr>
        <w:t>, the activities should support and complement the EP communication campaign.</w:t>
      </w:r>
    </w:p>
    <w:p w14:paraId="50BC2CE4" w14:textId="77777777" w:rsidR="000F67E7" w:rsidRPr="009C26A4" w:rsidRDefault="000F67E7" w:rsidP="008E5C29">
      <w:pPr>
        <w:autoSpaceDE w:val="0"/>
        <w:autoSpaceDN w:val="0"/>
        <w:adjustRightInd w:val="0"/>
        <w:contextualSpacing/>
        <w:jc w:val="both"/>
        <w:rPr>
          <w:rFonts w:eastAsia="Calibri"/>
          <w:lang w:eastAsia="en-US"/>
        </w:rPr>
      </w:pPr>
    </w:p>
    <w:p w14:paraId="1A3E4F99" w14:textId="5D612F68" w:rsidR="000F67E7" w:rsidRPr="009C26A4" w:rsidRDefault="000F67E7" w:rsidP="000F67E7">
      <w:pPr>
        <w:autoSpaceDE w:val="0"/>
        <w:autoSpaceDN w:val="0"/>
        <w:adjustRightInd w:val="0"/>
        <w:jc w:val="both"/>
        <w:rPr>
          <w:rFonts w:eastAsia="Calibri"/>
          <w:lang w:eastAsia="en-US"/>
        </w:rPr>
      </w:pPr>
      <w:r w:rsidRPr="007A0070">
        <w:rPr>
          <w:rFonts w:eastAsia="Calibri"/>
          <w:lang w:eastAsia="en-US"/>
        </w:rPr>
        <w:t>Junior Ambassadors should activate a social media account to promote their activities and</w:t>
      </w:r>
      <w:r w:rsidR="000E6179" w:rsidRPr="007A0070">
        <w:rPr>
          <w:rFonts w:eastAsia="Calibri"/>
          <w:lang w:eastAsia="en-US"/>
        </w:rPr>
        <w:t>/or</w:t>
      </w:r>
      <w:r w:rsidRPr="007A0070">
        <w:rPr>
          <w:rFonts w:eastAsia="Calibri"/>
          <w:lang w:eastAsia="en-US"/>
        </w:rPr>
        <w:t xml:space="preserve"> relay European Parliament feeds.</w:t>
      </w:r>
      <w:r w:rsidRPr="009C26A4">
        <w:rPr>
          <w:rFonts w:eastAsia="Calibri"/>
          <w:lang w:eastAsia="en-US"/>
        </w:rPr>
        <w:t xml:space="preserve"> They can suggest the EPLO to re-post their material on its social media account.</w:t>
      </w:r>
    </w:p>
    <w:p w14:paraId="7D0D6380" w14:textId="77777777" w:rsidR="002E0D7B" w:rsidRPr="009C26A4" w:rsidRDefault="002E0D7B" w:rsidP="000F67E7">
      <w:pPr>
        <w:autoSpaceDE w:val="0"/>
        <w:autoSpaceDN w:val="0"/>
        <w:adjustRightInd w:val="0"/>
        <w:jc w:val="both"/>
        <w:rPr>
          <w:snapToGrid w:val="0"/>
        </w:rPr>
      </w:pPr>
    </w:p>
    <w:p w14:paraId="63805A46" w14:textId="77777777" w:rsidR="000F67E7" w:rsidRPr="009C26A4" w:rsidRDefault="000F67E7" w:rsidP="000F67E7">
      <w:pPr>
        <w:autoSpaceDE w:val="0"/>
        <w:autoSpaceDN w:val="0"/>
        <w:adjustRightInd w:val="0"/>
        <w:jc w:val="both"/>
        <w:rPr>
          <w:snapToGrid w:val="0"/>
        </w:rPr>
      </w:pPr>
      <w:r w:rsidRPr="009C26A4">
        <w:rPr>
          <w:snapToGrid w:val="0"/>
        </w:rPr>
        <w:t xml:space="preserve">The participating schools will be evaluated by the Contractor </w:t>
      </w:r>
      <w:r w:rsidRPr="009C26A4">
        <w:rPr>
          <w:b/>
          <w:snapToGrid w:val="0"/>
        </w:rPr>
        <w:t xml:space="preserve">once a year </w:t>
      </w:r>
      <w:r w:rsidRPr="009C26A4">
        <w:rPr>
          <w:snapToGrid w:val="0"/>
        </w:rPr>
        <w:t>either on site or remotely. An employee of the European Parliament Liaison Office may be present during such a visit. During this visit, it will be established, in consultation with the Junior and Senior Ambassadors, to what extent the participating school has carried out the above activities. The evaluation report will be drawn up by the trainer and approved by the European Parliament Liaison Office.</w:t>
      </w:r>
    </w:p>
    <w:p w14:paraId="4E142A63" w14:textId="77777777" w:rsidR="000F67E7" w:rsidRPr="009C26A4" w:rsidRDefault="000F67E7" w:rsidP="000F67E7">
      <w:pPr>
        <w:autoSpaceDE w:val="0"/>
        <w:autoSpaceDN w:val="0"/>
        <w:adjustRightInd w:val="0"/>
        <w:jc w:val="both"/>
        <w:rPr>
          <w:snapToGrid w:val="0"/>
        </w:rPr>
      </w:pPr>
    </w:p>
    <w:p w14:paraId="76AAF493" w14:textId="56824DB1" w:rsidR="000F67E7" w:rsidRPr="009C26A4" w:rsidRDefault="000F67E7" w:rsidP="000F67E7">
      <w:pPr>
        <w:autoSpaceDE w:val="0"/>
        <w:autoSpaceDN w:val="0"/>
        <w:adjustRightInd w:val="0"/>
        <w:jc w:val="both"/>
        <w:rPr>
          <w:snapToGrid w:val="0"/>
        </w:rPr>
      </w:pPr>
      <w:r w:rsidRPr="009C26A4">
        <w:rPr>
          <w:snapToGrid w:val="0"/>
        </w:rPr>
        <w:t xml:space="preserve">It will be then established, in consultation with the European Parliament Liaison Office, whether this school satisfies the programme’s requirements and whether it has carried out the desired activities satisfactorily. If this is the case, the school will be certified a European Parliament Ambassador School and will be awarded a plaque which can be displayed in a </w:t>
      </w:r>
      <w:r w:rsidRPr="009C26A4">
        <w:rPr>
          <w:snapToGrid w:val="0"/>
        </w:rPr>
        <w:lastRenderedPageBreak/>
        <w:t>prominent place in the school building. This awarding ceremony is held at a location agreed with the school concerned. It is attended by the schools that qualify for certification. In the meeting, Senior and Junior Ambassadors are awarded diplomas and the school receives a plaque.</w:t>
      </w:r>
    </w:p>
    <w:p w14:paraId="2DFE3086" w14:textId="77777777" w:rsidR="002E0D7B" w:rsidRPr="009C26A4" w:rsidRDefault="002E0D7B" w:rsidP="000F67E7">
      <w:pPr>
        <w:autoSpaceDE w:val="0"/>
        <w:autoSpaceDN w:val="0"/>
        <w:adjustRightInd w:val="0"/>
        <w:jc w:val="both"/>
        <w:rPr>
          <w:snapToGrid w:val="0"/>
        </w:rPr>
      </w:pPr>
    </w:p>
    <w:p w14:paraId="1570CBA6" w14:textId="77777777" w:rsidR="000F67E7" w:rsidRPr="009C26A4" w:rsidRDefault="000F67E7" w:rsidP="000F67E7">
      <w:pPr>
        <w:spacing w:after="240"/>
        <w:rPr>
          <w:snapToGrid w:val="0"/>
        </w:rPr>
      </w:pPr>
      <w:r w:rsidRPr="009C26A4">
        <w:rPr>
          <w:noProof/>
          <w:snapToGrid w:val="0"/>
        </w:rPr>
        <w:t xml:space="preserve">EPLOs will </w:t>
      </w:r>
      <w:r w:rsidRPr="009C26A4">
        <w:rPr>
          <w:snapToGrid w:val="0"/>
        </w:rPr>
        <w:t xml:space="preserve">ensure the balance between both secondary and vocational schools participating in the programme. </w:t>
      </w:r>
    </w:p>
    <w:p w14:paraId="23415C00" w14:textId="593A3792" w:rsidR="000F67E7" w:rsidRPr="009C26A4" w:rsidRDefault="000F67E7" w:rsidP="000F67E7">
      <w:pPr>
        <w:spacing w:after="240"/>
        <w:jc w:val="both"/>
        <w:rPr>
          <w:snapToGrid w:val="0"/>
        </w:rPr>
      </w:pPr>
      <w:r w:rsidRPr="009C26A4">
        <w:rPr>
          <w:snapToGrid w:val="0"/>
        </w:rPr>
        <w:t>The number of schools that take part in the Programme could increase every school year with new schools joining the Programme:</w:t>
      </w:r>
    </w:p>
    <w:p w14:paraId="1D73246C" w14:textId="300D9703" w:rsidR="000F67E7" w:rsidRPr="007A0070" w:rsidRDefault="000F67E7" w:rsidP="000F67E7">
      <w:pPr>
        <w:ind w:right="-698"/>
        <w:jc w:val="both"/>
      </w:pPr>
      <w:r w:rsidRPr="007A0070">
        <w:t>- Number of schools already participating</w:t>
      </w:r>
      <w:r w:rsidRPr="007A0070">
        <w:rPr>
          <w:b/>
        </w:rPr>
        <w:t xml:space="preserve">: </w:t>
      </w:r>
      <w:r w:rsidR="00911107" w:rsidRPr="007A0070">
        <w:rPr>
          <w:b/>
        </w:rPr>
        <w:t>42</w:t>
      </w:r>
    </w:p>
    <w:p w14:paraId="65491474" w14:textId="77777777" w:rsidR="000F67E7" w:rsidRPr="007A0070" w:rsidRDefault="000F67E7" w:rsidP="000F67E7">
      <w:pPr>
        <w:ind w:right="-698"/>
        <w:jc w:val="both"/>
      </w:pPr>
    </w:p>
    <w:p w14:paraId="3FA2A272" w14:textId="38640186" w:rsidR="000F67E7" w:rsidRPr="007A0070" w:rsidRDefault="000F67E7" w:rsidP="000F67E7">
      <w:pPr>
        <w:ind w:right="-698"/>
        <w:jc w:val="both"/>
      </w:pPr>
      <w:r w:rsidRPr="007A0070">
        <w:t xml:space="preserve">- Estimated number of new schools for school year 2020/2021: </w:t>
      </w:r>
      <w:r w:rsidR="00911107" w:rsidRPr="007A0070">
        <w:t>from 5 to 10.</w:t>
      </w:r>
    </w:p>
    <w:p w14:paraId="5D3ED65D" w14:textId="77777777" w:rsidR="000F67E7" w:rsidRPr="007A0070" w:rsidRDefault="000F67E7" w:rsidP="000F67E7">
      <w:pPr>
        <w:ind w:right="-698"/>
        <w:jc w:val="both"/>
      </w:pPr>
    </w:p>
    <w:p w14:paraId="7CBF3916" w14:textId="741A540F" w:rsidR="00BD0B76" w:rsidRPr="007A0070" w:rsidRDefault="00BD0B76">
      <w:pPr>
        <w:spacing w:after="240"/>
        <w:jc w:val="both"/>
      </w:pPr>
      <w:r w:rsidRPr="007A0070">
        <w:t xml:space="preserve">The </w:t>
      </w:r>
      <w:r w:rsidR="00481423" w:rsidRPr="007A0070">
        <w:t>initi</w:t>
      </w:r>
      <w:r w:rsidRPr="007A0070">
        <w:t xml:space="preserve">al duration of the contract shall be </w:t>
      </w:r>
      <w:r w:rsidR="00260922" w:rsidRPr="007A0070">
        <w:t xml:space="preserve">of 12 months, renewable </w:t>
      </w:r>
      <w:r w:rsidR="00481423" w:rsidRPr="007A0070">
        <w:t xml:space="preserve">yearly </w:t>
      </w:r>
      <w:r w:rsidR="00260922" w:rsidRPr="007A0070">
        <w:t>up to</w:t>
      </w:r>
      <w:r w:rsidR="00481423" w:rsidRPr="007A0070">
        <w:t xml:space="preserve"> a total</w:t>
      </w:r>
      <w:r w:rsidR="00260922" w:rsidRPr="007A0070">
        <w:t xml:space="preserve"> </w:t>
      </w:r>
      <w:r w:rsidR="00481423" w:rsidRPr="007A0070">
        <w:t xml:space="preserve">of </w:t>
      </w:r>
      <w:r w:rsidR="00260922" w:rsidRPr="007A0070">
        <w:t>48 months</w:t>
      </w:r>
      <w:r w:rsidRPr="007A0070">
        <w:t>. Performance of the contract shall not begin until the framework contract</w:t>
      </w:r>
      <w:r w:rsidR="00260922" w:rsidRPr="007A0070">
        <w:t xml:space="preserve"> </w:t>
      </w:r>
      <w:r w:rsidRPr="007A0070">
        <w:t>is signed.</w:t>
      </w:r>
      <w:r w:rsidRPr="007A0070">
        <w:rPr>
          <w:i/>
        </w:rPr>
        <w:t xml:space="preserve"> </w:t>
      </w:r>
      <w:r w:rsidRPr="007A0070">
        <w:t>Any renewal of the contract shall take place in accordance with the terms laid down in the contract.</w:t>
      </w:r>
    </w:p>
    <w:p w14:paraId="0235C4D8" w14:textId="7B3684A2" w:rsidR="00BD0B76" w:rsidRPr="009C26A4" w:rsidRDefault="00BD0B76">
      <w:pPr>
        <w:spacing w:after="240"/>
        <w:jc w:val="both"/>
      </w:pPr>
      <w:r w:rsidRPr="007A0070">
        <w:t>The total maximum value of the contract is EUR</w:t>
      </w:r>
      <w:r w:rsidR="00260922" w:rsidRPr="007A0070">
        <w:t xml:space="preserve"> </w:t>
      </w:r>
      <w:r w:rsidR="007A701D" w:rsidRPr="007A0070">
        <w:t>200</w:t>
      </w:r>
      <w:r w:rsidR="00911107" w:rsidRPr="007A0070">
        <w:t xml:space="preserve">.000 </w:t>
      </w:r>
      <w:r w:rsidR="00260922" w:rsidRPr="007A0070">
        <w:t>for its total duration.</w:t>
      </w:r>
    </w:p>
    <w:p w14:paraId="63CD35FC" w14:textId="77777777"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Participation in the tender procedure</w:t>
      </w:r>
    </w:p>
    <w:p w14:paraId="529CE222" w14:textId="77777777" w:rsidR="00BD0B76" w:rsidRPr="009C26A4" w:rsidRDefault="00BD0B76">
      <w:pPr>
        <w:spacing w:after="240"/>
        <w:jc w:val="both"/>
      </w:pPr>
      <w:r w:rsidRPr="009C26A4">
        <w:t>Participation in this invitation-to-tender procedure is open on the same terms to all natural or legal persons and public entities in a European Union Member State and to all natural and legal persons and public entities of a third country which has concluded a specific public-procurement agreement with the European Union giving them access to the contract which is the subject of this invitation to tender and on the terms laid down by that agreement.</w:t>
      </w:r>
    </w:p>
    <w:p w14:paraId="53EC921B" w14:textId="3AB0B8DD" w:rsidR="00BD0B76" w:rsidRPr="009C26A4" w:rsidRDefault="00082634">
      <w:pPr>
        <w:spacing w:after="240"/>
        <w:jc w:val="both"/>
      </w:pPr>
      <w:r w:rsidRPr="009C26A4" w:rsidDel="00082634">
        <w:t xml:space="preserve"> </w:t>
      </w:r>
      <w:r w:rsidR="00BD0B76" w:rsidRPr="009C26A4">
        <w:t xml:space="preserve">In order to ascertain the eligibility of tenderers, they must indicate in their tenders the country in which they have their registered office or in which they are domiciled. They must also submit the evidence required under their national law or other, equivalent proof enabling the European Parliament to check </w:t>
      </w:r>
      <w:r w:rsidR="00305ECF" w:rsidRPr="009C26A4">
        <w:t xml:space="preserve">where </w:t>
      </w:r>
      <w:r w:rsidR="00BD0B76" w:rsidRPr="009C26A4">
        <w:t>they come from.</w:t>
      </w:r>
    </w:p>
    <w:p w14:paraId="35ADF14C" w14:textId="77777777" w:rsidR="00BD0B76" w:rsidRPr="009C26A4" w:rsidRDefault="00134759" w:rsidP="002F495A">
      <w:pPr>
        <w:numPr>
          <w:ilvl w:val="0"/>
          <w:numId w:val="6"/>
        </w:numPr>
        <w:tabs>
          <w:tab w:val="clear" w:pos="360"/>
          <w:tab w:val="left" w:pos="567"/>
        </w:tabs>
        <w:spacing w:before="240" w:after="240"/>
        <w:ind w:left="567" w:hanging="567"/>
        <w:jc w:val="both"/>
        <w:rPr>
          <w:b/>
        </w:rPr>
      </w:pPr>
      <w:r w:rsidRPr="009C26A4">
        <w:rPr>
          <w:b/>
          <w:caps/>
        </w:rPr>
        <w:t xml:space="preserve">groups </w:t>
      </w:r>
      <w:r w:rsidR="00BD0B76" w:rsidRPr="009C26A4">
        <w:rPr>
          <w:b/>
          <w:caps/>
        </w:rPr>
        <w:t xml:space="preserve">OF ECONOMIC OPERATORS </w:t>
      </w:r>
    </w:p>
    <w:p w14:paraId="6D0EC221" w14:textId="77777777" w:rsidR="00BD0B76" w:rsidRPr="009C26A4" w:rsidRDefault="00BD0B76">
      <w:pPr>
        <w:spacing w:after="240"/>
        <w:jc w:val="both"/>
      </w:pPr>
      <w:r w:rsidRPr="009C26A4">
        <w:t xml:space="preserve">If the tender is submitted by a </w:t>
      </w:r>
      <w:r w:rsidR="00134759" w:rsidRPr="009C26A4">
        <w:t xml:space="preserve">group </w:t>
      </w:r>
      <w:r w:rsidRPr="009C26A4">
        <w:t>of economic operators, Annex V must be completed and included with it.</w:t>
      </w:r>
    </w:p>
    <w:p w14:paraId="6A3A5DCD" w14:textId="77777777" w:rsidR="00BD0B76" w:rsidRPr="009C26A4" w:rsidRDefault="00134759">
      <w:pPr>
        <w:spacing w:after="240"/>
        <w:jc w:val="both"/>
      </w:pPr>
      <w:r w:rsidRPr="009C26A4">
        <w:t xml:space="preserve">Groups </w:t>
      </w:r>
      <w:r w:rsidR="00BD0B76" w:rsidRPr="009C26A4">
        <w:t xml:space="preserve">of economic operators may submit a tender. The European Parliament reserves the right to require the </w:t>
      </w:r>
      <w:r w:rsidRPr="009C26A4">
        <w:t xml:space="preserve">group </w:t>
      </w:r>
      <w:r w:rsidR="00BD0B76" w:rsidRPr="009C26A4">
        <w:t>selected to have a given legal form if this is necessary for the proper performance of the contract. This requirement may be communicated by the European Parliament at any time during the contract award procedure, but at all events before the contract is signed.</w:t>
      </w:r>
    </w:p>
    <w:p w14:paraId="5C2D7E60" w14:textId="77777777" w:rsidR="00BD0B76" w:rsidRPr="009C26A4" w:rsidRDefault="00BD0B76">
      <w:pPr>
        <w:spacing w:after="240"/>
        <w:jc w:val="both"/>
      </w:pPr>
      <w:r w:rsidRPr="009C26A4">
        <w:t xml:space="preserve">The </w:t>
      </w:r>
      <w:r w:rsidR="00134759" w:rsidRPr="009C26A4">
        <w:t xml:space="preserve">group </w:t>
      </w:r>
      <w:r w:rsidRPr="009C26A4">
        <w:t>of economic operators shall provide proof of its legal form by the time the contract - if awarded to it - is signed. This may take one of the following forms:</w:t>
      </w:r>
    </w:p>
    <w:p w14:paraId="58562135" w14:textId="77777777" w:rsidR="00BD0B76" w:rsidRPr="009C26A4" w:rsidRDefault="00BD0B76" w:rsidP="002F495A">
      <w:pPr>
        <w:numPr>
          <w:ilvl w:val="0"/>
          <w:numId w:val="4"/>
        </w:numPr>
        <w:spacing w:after="240"/>
        <w:ind w:left="420" w:hanging="420"/>
        <w:jc w:val="both"/>
      </w:pPr>
      <w:r w:rsidRPr="009C26A4">
        <w:t>an entity with legal personality recognised by a Member State;</w:t>
      </w:r>
    </w:p>
    <w:p w14:paraId="7B44E383" w14:textId="77777777" w:rsidR="00BD0B76" w:rsidRPr="009C26A4" w:rsidRDefault="00BD0B76" w:rsidP="002F495A">
      <w:pPr>
        <w:numPr>
          <w:ilvl w:val="0"/>
          <w:numId w:val="4"/>
        </w:numPr>
        <w:spacing w:after="240"/>
        <w:ind w:left="420" w:hanging="420"/>
        <w:jc w:val="both"/>
      </w:pPr>
      <w:r w:rsidRPr="009C26A4">
        <w:t>an entity without legal personality but offering sufficient protection of the European Parliament's contractual interests (depending on the Member State concerned, this may be, for example, a consortium or a temporary partnership);</w:t>
      </w:r>
    </w:p>
    <w:p w14:paraId="1CD9230F" w14:textId="77777777" w:rsidR="00BD0B76" w:rsidRPr="009C26A4" w:rsidRDefault="00BD0B76" w:rsidP="002F495A">
      <w:pPr>
        <w:numPr>
          <w:ilvl w:val="0"/>
          <w:numId w:val="4"/>
        </w:numPr>
        <w:spacing w:after="240"/>
        <w:ind w:left="420" w:hanging="420"/>
        <w:jc w:val="both"/>
      </w:pPr>
      <w:r w:rsidRPr="009C26A4">
        <w:lastRenderedPageBreak/>
        <w:t>the signature by all the partners of a type of ‘power of attorney’ or equivalent document confirming a form of cooperation.</w:t>
      </w:r>
    </w:p>
    <w:p w14:paraId="5122C3B3" w14:textId="77777777" w:rsidR="00BD0B76" w:rsidRPr="009C26A4" w:rsidRDefault="00BD0B76">
      <w:pPr>
        <w:spacing w:after="240"/>
        <w:jc w:val="both"/>
      </w:pPr>
      <w:r w:rsidRPr="009C26A4">
        <w:t xml:space="preserve">The </w:t>
      </w:r>
      <w:r w:rsidR="00134759" w:rsidRPr="009C26A4">
        <w:t>group</w:t>
      </w:r>
      <w:r w:rsidRPr="009C26A4">
        <w:t xml:space="preserve">’s actual status shall be established by any document or agreement signed by the members of the </w:t>
      </w:r>
      <w:r w:rsidR="0007439C" w:rsidRPr="009C26A4">
        <w:t>group</w:t>
      </w:r>
      <w:r w:rsidRPr="009C26A4">
        <w:t>, which shall be appended to the tender.</w:t>
      </w:r>
    </w:p>
    <w:p w14:paraId="3DBA8E48" w14:textId="77777777" w:rsidR="00BD0B76" w:rsidRPr="009C26A4" w:rsidRDefault="00BD0B76">
      <w:pPr>
        <w:spacing w:after="240"/>
        <w:jc w:val="both"/>
      </w:pPr>
      <w:r w:rsidRPr="009C26A4">
        <w:t xml:space="preserve">Those documents or agreements may exceptionally be modified and/or submitted after the time limit for submission of a tender, but under no circumstances after the outcome of the invitation to tender has been communicated to the tenderers concerned. The European Parliament reserves the right to reject a tender if the terms of agreements between the members of a </w:t>
      </w:r>
      <w:r w:rsidR="00134759" w:rsidRPr="009C26A4">
        <w:t xml:space="preserve">group </w:t>
      </w:r>
      <w:r w:rsidRPr="009C26A4">
        <w:t xml:space="preserve">are modified during the procedure, if those terms make no provision for the joint and several liability of the </w:t>
      </w:r>
      <w:r w:rsidR="00134759" w:rsidRPr="009C26A4">
        <w:t>group</w:t>
      </w:r>
      <w:r w:rsidRPr="009C26A4">
        <w:t>'s members or if no agreement with legal force has been submitted with the tender.</w:t>
      </w:r>
    </w:p>
    <w:p w14:paraId="38F13B58" w14:textId="77777777" w:rsidR="00BD0B76" w:rsidRPr="009C26A4" w:rsidRDefault="00BD0B76">
      <w:pPr>
        <w:spacing w:after="240"/>
        <w:jc w:val="both"/>
      </w:pPr>
      <w:r w:rsidRPr="009C26A4">
        <w:t xml:space="preserve">The European Parliament may accept other legal forms not referred to above, provided that they ensure the parties' joint and several liability and are compatible with performance of the contract. At all events, it should be noted that, in the contract to be signed with the </w:t>
      </w:r>
      <w:r w:rsidR="00134759" w:rsidRPr="009C26A4">
        <w:t>group</w:t>
      </w:r>
      <w:r w:rsidRPr="009C26A4">
        <w:t>, the European Parliament will refer expressly to the existence of such joint and several liability. In addition, it reserves the right to require, contractually, the appointment of an authorised representative who may represent the members and who is empowered, inter alia, to issue invoices on behalf of the other members.</w:t>
      </w:r>
    </w:p>
    <w:p w14:paraId="197E7AFC" w14:textId="77777777" w:rsidR="00BD0B76" w:rsidRPr="009C26A4" w:rsidRDefault="00BD0B76">
      <w:pPr>
        <w:spacing w:after="240"/>
        <w:jc w:val="both"/>
      </w:pPr>
      <w:r w:rsidRPr="009C26A4">
        <w:t xml:space="preserve">Tenders from </w:t>
      </w:r>
      <w:r w:rsidR="00134759" w:rsidRPr="009C26A4">
        <w:t xml:space="preserve">groups </w:t>
      </w:r>
      <w:r w:rsidRPr="009C26A4">
        <w:t xml:space="preserve">of economic operators must specify the role, qualifications and experience of each of the members of the </w:t>
      </w:r>
      <w:r w:rsidR="00134759" w:rsidRPr="009C26A4">
        <w:t>group</w:t>
      </w:r>
      <w:r w:rsidRPr="009C26A4">
        <w:t>. The tender shall be submitted jointly by the economic operators, who shall also assume joint and several liability for the tender submission.</w:t>
      </w:r>
    </w:p>
    <w:p w14:paraId="2440CB1F" w14:textId="77777777" w:rsidR="00BD0B76" w:rsidRPr="009C26A4" w:rsidRDefault="00BD0B76">
      <w:pPr>
        <w:spacing w:after="240"/>
        <w:jc w:val="both"/>
      </w:pPr>
      <w:r w:rsidRPr="009C26A4">
        <w:t xml:space="preserve">In the case of a </w:t>
      </w:r>
      <w:r w:rsidR="00134759" w:rsidRPr="009C26A4">
        <w:t xml:space="preserve">group </w:t>
      </w:r>
      <w:r w:rsidRPr="009C26A4">
        <w:t xml:space="preserve">of economic operators, each member shall furnish proof of right of access to the contract (eligibility), as well as proof concerning compliance with the exclusion and selection criteria. With regard to the selection criteria, the European Parliament may rely on the capacity of the other members of the </w:t>
      </w:r>
      <w:r w:rsidR="00134759" w:rsidRPr="009C26A4">
        <w:t xml:space="preserve">group </w:t>
      </w:r>
      <w:r w:rsidRPr="009C26A4">
        <w:t>in order to establish whether the tenderer will have the resources needed to perform the contract. In this case an undertaking shall be required from those members stating that they will make available to the other members the resources needed to perform the contract.</w:t>
      </w:r>
    </w:p>
    <w:p w14:paraId="64BD393A" w14:textId="77777777" w:rsidR="00DC3EB4" w:rsidRPr="009C26A4" w:rsidRDefault="00DC3EB4" w:rsidP="00DC3EB4">
      <w:pPr>
        <w:numPr>
          <w:ilvl w:val="0"/>
          <w:numId w:val="6"/>
        </w:numPr>
        <w:tabs>
          <w:tab w:val="clear" w:pos="360"/>
          <w:tab w:val="left" w:pos="567"/>
        </w:tabs>
        <w:spacing w:before="240" w:after="240"/>
        <w:ind w:left="567" w:hanging="567"/>
        <w:jc w:val="both"/>
        <w:rPr>
          <w:b/>
          <w:bCs/>
          <w:caps/>
        </w:rPr>
      </w:pPr>
      <w:r w:rsidRPr="009C26A4">
        <w:rPr>
          <w:b/>
          <w:bCs/>
          <w:caps/>
        </w:rPr>
        <w:t>COUNTRY OF THE TENDERER</w:t>
      </w:r>
    </w:p>
    <w:p w14:paraId="4A496586" w14:textId="77777777" w:rsidR="0062724B" w:rsidRPr="009C26A4" w:rsidRDefault="0062724B" w:rsidP="00772303">
      <w:pPr>
        <w:tabs>
          <w:tab w:val="left" w:pos="567"/>
        </w:tabs>
        <w:spacing w:before="240" w:after="240"/>
        <w:jc w:val="both"/>
      </w:pPr>
      <w:r w:rsidRPr="009C26A4">
        <w:t>The tenderers must indicate in which country are they established and to present the supporting evidence normally acceptable under the law of that country.</w:t>
      </w:r>
    </w:p>
    <w:p w14:paraId="7CC89E64" w14:textId="77777777"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SUBCONTRACTING</w:t>
      </w:r>
    </w:p>
    <w:p w14:paraId="377164EE" w14:textId="28B0D12D" w:rsidR="00BD0B76" w:rsidRPr="009C26A4" w:rsidRDefault="00BD0B76">
      <w:pPr>
        <w:spacing w:after="240"/>
        <w:jc w:val="both"/>
      </w:pPr>
      <w:r w:rsidRPr="009C26A4">
        <w:t>Subcontracting is permitted.</w:t>
      </w:r>
    </w:p>
    <w:p w14:paraId="1439C905" w14:textId="77777777" w:rsidR="00BD0B76" w:rsidRPr="009C26A4" w:rsidRDefault="00BD0B76">
      <w:pPr>
        <w:spacing w:after="240"/>
        <w:jc w:val="both"/>
      </w:pPr>
      <w:r w:rsidRPr="009C26A4">
        <w:t>If the tenderer uses subcontractors, Annex VI must be completed and included with the tender.</w:t>
      </w:r>
    </w:p>
    <w:p w14:paraId="07E16E08" w14:textId="29F6BD7B" w:rsidR="00BD0B76" w:rsidRPr="009C26A4" w:rsidRDefault="00BD0B76">
      <w:pPr>
        <w:spacing w:after="240"/>
        <w:jc w:val="both"/>
      </w:pPr>
      <w:r w:rsidRPr="009C26A4">
        <w:t>The tender shall give details, as far as possible, of that part of the contract which the tenderer proposes to subcontract and the identity of the subcontractors. During the contract award procedure or performance of the contract the European Parliament reserves the right to require tenderers to supply information about the financial, economic, technical and professional capacity of the proposed subcontractor(s). Likewise, the European Parliament may demand the requisite proof to establish whether the subcontractors comply with the requisite exclusion criteria. Tenderers are hereby informed that proposed subcontractors may not be in one of the situations described in Articles 1</w:t>
      </w:r>
      <w:r w:rsidR="00DC3EB4" w:rsidRPr="009C26A4">
        <w:t>3</w:t>
      </w:r>
      <w:r w:rsidRPr="009C26A4">
        <w:t>6</w:t>
      </w:r>
      <w:r w:rsidR="00CC0BE0" w:rsidRPr="009C26A4">
        <w:t xml:space="preserve"> </w:t>
      </w:r>
      <w:r w:rsidR="00DC3EB4" w:rsidRPr="009C26A4">
        <w:t>to 141</w:t>
      </w:r>
      <w:r w:rsidRPr="009C26A4">
        <w:t xml:space="preserve"> of the Financial Regulation, which entail exclusion from participation in a contract issued by the European Union.</w:t>
      </w:r>
    </w:p>
    <w:p w14:paraId="6E46D8A2" w14:textId="77777777" w:rsidR="005E25F1" w:rsidRPr="009C26A4" w:rsidRDefault="005E25F1">
      <w:pPr>
        <w:spacing w:after="240"/>
        <w:jc w:val="both"/>
      </w:pPr>
      <w:r w:rsidRPr="009C26A4">
        <w:lastRenderedPageBreak/>
        <w:t>The European Parliament shall verify whether the envisaged subcontractors, when subcontracting represents a significant part of the contract, fulfil the relevant selection criteria.</w:t>
      </w:r>
    </w:p>
    <w:p w14:paraId="2EF1B3BE" w14:textId="77777777" w:rsidR="00BD0B76" w:rsidRPr="009C26A4" w:rsidRDefault="00BD0B76">
      <w:pPr>
        <w:spacing w:after="240"/>
        <w:jc w:val="both"/>
      </w:pPr>
      <w:r w:rsidRPr="009C26A4">
        <w:t>The European Parliament is entitled to reject any subcontractor who does not comply with the exclusion and/or selection criteria (see points 1</w:t>
      </w:r>
      <w:r w:rsidR="00DC3EB4" w:rsidRPr="009C26A4">
        <w:t>4.</w:t>
      </w:r>
      <w:r w:rsidRPr="009C26A4">
        <w:t xml:space="preserve"> and 1</w:t>
      </w:r>
      <w:r w:rsidR="00DC3EB4" w:rsidRPr="009C26A4">
        <w:t>5.</w:t>
      </w:r>
      <w:r w:rsidRPr="009C26A4">
        <w:t xml:space="preserve"> respectively).</w:t>
      </w:r>
    </w:p>
    <w:p w14:paraId="0989414A" w14:textId="1F9FB46C" w:rsidR="00BD0B76" w:rsidRPr="009C26A4" w:rsidRDefault="00BD0B76">
      <w:pPr>
        <w:spacing w:after="240"/>
        <w:jc w:val="both"/>
      </w:pPr>
      <w:r w:rsidRPr="009C26A4">
        <w:t xml:space="preserve">Furthermore, the European Parliament must be informed by the Contractor of any subsequent use of subcontracting not provided for in the tender. The authorising officer responsible reserves the right to accept or reject the proposed subcontractor. In order to do so he may demand the requisite proof to establish whether the subcontractor(s) complies/comply with the requisite criteria. The European Parliament’s authorisation will always be granted in writing. </w:t>
      </w:r>
    </w:p>
    <w:p w14:paraId="719A6F60" w14:textId="77777777" w:rsidR="00BD0B76" w:rsidRPr="009C26A4" w:rsidRDefault="00BD0B76">
      <w:pPr>
        <w:spacing w:after="240"/>
        <w:jc w:val="both"/>
      </w:pPr>
      <w:r w:rsidRPr="009C26A4">
        <w:t>If the contract is awarded to a tenderer who proposes a subcontractor in his tender, this equates to giving consent for the subcontracting.</w:t>
      </w:r>
    </w:p>
    <w:p w14:paraId="4CAF9841" w14:textId="4CD95086"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VARIANTS</w:t>
      </w:r>
    </w:p>
    <w:p w14:paraId="0770E27D" w14:textId="53739F73" w:rsidR="00BD0B76" w:rsidRPr="009C26A4" w:rsidRDefault="00BD0B76">
      <w:pPr>
        <w:spacing w:after="240"/>
        <w:jc w:val="both"/>
      </w:pPr>
      <w:r w:rsidRPr="009C26A4">
        <w:t>Variants are not permitted</w:t>
      </w:r>
      <w:r w:rsidRPr="009C26A4">
        <w:rPr>
          <w:i/>
        </w:rPr>
        <w:t>.</w:t>
      </w:r>
    </w:p>
    <w:p w14:paraId="40CD0596" w14:textId="77777777"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PRICES</w:t>
      </w:r>
    </w:p>
    <w:p w14:paraId="145C30CC" w14:textId="58DBA4AA" w:rsidR="00BD0B76" w:rsidRPr="009C26A4" w:rsidRDefault="00BD0B76">
      <w:pPr>
        <w:spacing w:after="240"/>
        <w:jc w:val="both"/>
      </w:pPr>
      <w:r w:rsidRPr="009C26A4">
        <w:t xml:space="preserve">Prices shall be firm and not open to revision. </w:t>
      </w:r>
    </w:p>
    <w:p w14:paraId="2FC8CBC4" w14:textId="77777777" w:rsidR="00BD0B76" w:rsidRPr="009C26A4" w:rsidRDefault="00BD0B76">
      <w:pPr>
        <w:spacing w:after="240"/>
        <w:jc w:val="both"/>
      </w:pPr>
      <w:r w:rsidRPr="009C26A4">
        <w:t xml:space="preserve">Pursuant to Article 3 of the Protocol on the privileges and immunities of the European Union, the price quotation shall be submitted excluding VAT and other equivalent indirect taxes. </w:t>
      </w:r>
    </w:p>
    <w:p w14:paraId="72CF4D48" w14:textId="21D72E14" w:rsidR="00BD0B76" w:rsidRPr="009C26A4" w:rsidRDefault="00BD0B76">
      <w:pPr>
        <w:spacing w:after="240"/>
        <w:jc w:val="both"/>
      </w:pPr>
      <w:r w:rsidRPr="009C26A4">
        <w:t>The price quoted must be all-inclusive and expressed in euros, including for countries which are not part of the euro zone. For tenderers in those countries, the amount of the tender may not be revised in line with exchange rate movements. It is for the tenderer to select an exchange rate and accept the risks or the benefits deriving from any variation.</w:t>
      </w:r>
    </w:p>
    <w:p w14:paraId="50904DF3" w14:textId="316E0C45"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FINANCIAL GUARANTEES</w:t>
      </w:r>
    </w:p>
    <w:p w14:paraId="2819D9F2" w14:textId="2837E086" w:rsidR="00BD0B76" w:rsidRPr="009C26A4" w:rsidRDefault="00E254E1" w:rsidP="00E254E1">
      <w:pPr>
        <w:spacing w:after="240"/>
        <w:jc w:val="both"/>
      </w:pPr>
      <w:r w:rsidRPr="009C26A4">
        <w:t>Not applicable.</w:t>
      </w:r>
    </w:p>
    <w:p w14:paraId="02CAD04A" w14:textId="77777777"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ENVIRONMENTAL ASPECTS</w:t>
      </w:r>
    </w:p>
    <w:p w14:paraId="39A56347" w14:textId="77777777" w:rsidR="00BD0B76" w:rsidRPr="009C26A4" w:rsidRDefault="00BD0B76">
      <w:pPr>
        <w:spacing w:after="240"/>
        <w:jc w:val="both"/>
        <w:rPr>
          <w:u w:val="single"/>
        </w:rPr>
      </w:pPr>
      <w:r w:rsidRPr="009C26A4">
        <w:rPr>
          <w:u w:val="single"/>
        </w:rPr>
        <w:t>The European Parliament's environmental policy</w:t>
      </w:r>
    </w:p>
    <w:p w14:paraId="18DE5DB6" w14:textId="3C1C3751" w:rsidR="0062724B" w:rsidRPr="009C26A4" w:rsidRDefault="00BD0B76">
      <w:pPr>
        <w:spacing w:after="240"/>
        <w:jc w:val="both"/>
        <w:rPr>
          <w:u w:val="single"/>
        </w:rPr>
      </w:pPr>
      <w:r w:rsidRPr="009C26A4">
        <w:t>Tenderers shall undertake to comply with the environmental legislation in force in the field of the contract, should it be awarded to them. It should be noted in this connection that the European Parliament applies the EMAS environmental management system in accordance with Regulation (EC) No 1221/2009 of the European Parliament and of the Council of 25 November 2009. Information about EMAS is provided by the authorising department in Annex II to these specifications. The successful tenderer will be required to ensure that the information provided by the European Parliament on the EMAS programme in general, and more specifically on the implementation of environmental measures in practice, is known by all his staff working for the European Parliament. At the European Parliament's request the successful tenderer may be required to certify that anyone assigned to work under the contract has received the appropriate professional training required (technical, safety and environmental training) concerning compliance with safety rules and correct handling of the equipment and products to be used, including action to be taken in the event of incorrect handling or any other incidents. Upon request the successful tenderer will also supply the requisite information for European Parliament staff on the environmental measures to be taken with regard to the products used in connection with performance of the contract.</w:t>
      </w:r>
    </w:p>
    <w:p w14:paraId="11BA13C4" w14:textId="77777777"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lastRenderedPageBreak/>
        <w:t>POLICY ON THE PROMOTION OF EQUAL OPPORTUNITIES</w:t>
      </w:r>
    </w:p>
    <w:p w14:paraId="2A9502F9" w14:textId="77777777" w:rsidR="00BD0B76" w:rsidRPr="009C26A4" w:rsidRDefault="00BD0B76">
      <w:pPr>
        <w:spacing w:after="240"/>
        <w:jc w:val="both"/>
      </w:pPr>
      <w:r w:rsidRPr="009C26A4">
        <w:t>Tenderers shall undertake to observe a policy on the promotion of equality and diversity in the performance of the contract, should it be awarded to them, by applying the principles of non-discrimination and equality set out in the Community Treaties in full and in their entirety. More particularly, the tenderer awarded the contract shall undertake to establish, maintain and promote an open and inclusive working environment which respects human dignity and the principles of equal opportunities, based on three main elements:</w:t>
      </w:r>
    </w:p>
    <w:p w14:paraId="319FC9D9" w14:textId="77777777" w:rsidR="00BD0B76" w:rsidRPr="009C26A4" w:rsidRDefault="00BD0B76" w:rsidP="002F495A">
      <w:pPr>
        <w:numPr>
          <w:ilvl w:val="0"/>
          <w:numId w:val="4"/>
        </w:numPr>
        <w:spacing w:after="240"/>
        <w:ind w:left="420" w:hanging="420"/>
        <w:jc w:val="both"/>
      </w:pPr>
      <w:r w:rsidRPr="009C26A4">
        <w:t>equality between men and women;</w:t>
      </w:r>
    </w:p>
    <w:p w14:paraId="5A0F56EF" w14:textId="77777777" w:rsidR="00BD0B76" w:rsidRPr="009C26A4" w:rsidRDefault="00BD0B76" w:rsidP="002F495A">
      <w:pPr>
        <w:numPr>
          <w:ilvl w:val="0"/>
          <w:numId w:val="4"/>
        </w:numPr>
        <w:spacing w:after="240"/>
        <w:ind w:left="420" w:hanging="420"/>
        <w:jc w:val="both"/>
      </w:pPr>
      <w:r w:rsidRPr="009C26A4">
        <w:t>employment and integration of disabled persons;</w:t>
      </w:r>
    </w:p>
    <w:p w14:paraId="1986E525" w14:textId="7B85AECC" w:rsidR="00BD0B76" w:rsidRPr="009C26A4" w:rsidRDefault="00BD0B76" w:rsidP="002F495A">
      <w:pPr>
        <w:numPr>
          <w:ilvl w:val="0"/>
          <w:numId w:val="4"/>
        </w:numPr>
        <w:spacing w:after="240"/>
        <w:ind w:left="420" w:hanging="420"/>
        <w:jc w:val="both"/>
      </w:pPr>
      <w:r w:rsidRPr="009C26A4">
        <w:t>the removal of all obstacles to recruitment and all potenti</w:t>
      </w:r>
      <w:r w:rsidR="00FB008B" w:rsidRPr="009C26A4">
        <w:t xml:space="preserve">al discrimination based on sex, </w:t>
      </w:r>
      <w:r w:rsidRPr="009C26A4">
        <w:t>race or ethnic origin, religion or convictions, disability, age or sexual orientation.</w:t>
      </w:r>
    </w:p>
    <w:p w14:paraId="67117982" w14:textId="163E8897" w:rsidR="00BD0B76" w:rsidRPr="009C26A4" w:rsidRDefault="00BD0B76" w:rsidP="002F495A">
      <w:pPr>
        <w:numPr>
          <w:ilvl w:val="0"/>
          <w:numId w:val="6"/>
        </w:numPr>
        <w:tabs>
          <w:tab w:val="clear" w:pos="360"/>
          <w:tab w:val="num" w:pos="567"/>
        </w:tabs>
        <w:spacing w:before="240" w:after="240"/>
        <w:ind w:left="567" w:hanging="567"/>
        <w:jc w:val="both"/>
        <w:rPr>
          <w:b/>
          <w:caps/>
        </w:rPr>
      </w:pPr>
      <w:r w:rsidRPr="009C26A4">
        <w:rPr>
          <w:b/>
          <w:caps/>
        </w:rPr>
        <w:t>PERFORMANCE OF FRAMEWORK CONTRACTS</w:t>
      </w:r>
    </w:p>
    <w:p w14:paraId="02965558" w14:textId="197A81AE" w:rsidR="00BD0B76" w:rsidRPr="009C26A4" w:rsidRDefault="00E254E1">
      <w:pPr>
        <w:spacing w:after="240"/>
        <w:jc w:val="both"/>
      </w:pPr>
      <w:r w:rsidRPr="009C26A4">
        <w:rPr>
          <w:i/>
        </w:rPr>
        <w:t>Not applicable.</w:t>
      </w:r>
    </w:p>
    <w:p w14:paraId="563F30D1" w14:textId="77777777" w:rsidR="00B94038" w:rsidRPr="009C26A4" w:rsidRDefault="00B94038">
      <w:pPr>
        <w:spacing w:after="240"/>
        <w:jc w:val="both"/>
      </w:pPr>
    </w:p>
    <w:p w14:paraId="51409F5C" w14:textId="77777777" w:rsidR="00BD0B76" w:rsidRPr="009C26A4" w:rsidRDefault="00BD0B76">
      <w:pPr>
        <w:spacing w:before="120" w:after="120"/>
        <w:jc w:val="both"/>
        <w:rPr>
          <w:b/>
        </w:rPr>
      </w:pPr>
      <w:r w:rsidRPr="009C26A4">
        <w:rPr>
          <w:b/>
        </w:rPr>
        <w:br w:type="page"/>
      </w:r>
      <w:r w:rsidRPr="009C26A4">
        <w:rPr>
          <w:b/>
        </w:rPr>
        <w:lastRenderedPageBreak/>
        <w:t>PART II – EXCLUSION, SELECTION AND AWARD CRITERIA</w:t>
      </w:r>
    </w:p>
    <w:p w14:paraId="372E79AB" w14:textId="3D64AB1F" w:rsidR="00BD0B76" w:rsidRPr="009C26A4" w:rsidRDefault="00BD0B76" w:rsidP="002F495A">
      <w:pPr>
        <w:numPr>
          <w:ilvl w:val="0"/>
          <w:numId w:val="6"/>
        </w:numPr>
        <w:tabs>
          <w:tab w:val="clear" w:pos="360"/>
          <w:tab w:val="left" w:pos="567"/>
        </w:tabs>
        <w:spacing w:before="240" w:after="240"/>
        <w:ind w:left="567" w:hanging="567"/>
        <w:jc w:val="both"/>
        <w:rPr>
          <w:b/>
          <w:caps/>
        </w:rPr>
      </w:pPr>
      <w:r w:rsidRPr="009C26A4">
        <w:rPr>
          <w:b/>
          <w:caps/>
        </w:rPr>
        <w:t>EXCLUSION CRITERIA</w:t>
      </w:r>
      <w:r w:rsidR="00EA4018" w:rsidRPr="009C26A4">
        <w:rPr>
          <w:b/>
          <w:caps/>
        </w:rPr>
        <w:t xml:space="preserve"> </w:t>
      </w:r>
    </w:p>
    <w:p w14:paraId="0CFE6885" w14:textId="77777777" w:rsidR="00294E62" w:rsidRPr="009C26A4" w:rsidRDefault="00294E62" w:rsidP="00294E62">
      <w:pPr>
        <w:pStyle w:val="text10"/>
        <w:jc w:val="both"/>
      </w:pPr>
      <w:r w:rsidRPr="009C26A4">
        <w:t xml:space="preserve">The full texts of Articles 136 to 141 FR on exclusion criteria and their application are available in the Official Journal of the European Union, N° L-193 published on 30 July 2018, pages 1-222. </w:t>
      </w:r>
    </w:p>
    <w:p w14:paraId="16FC702A" w14:textId="77777777" w:rsidR="00294E62" w:rsidRPr="009C26A4" w:rsidRDefault="00294E62" w:rsidP="00294E62">
      <w:pPr>
        <w:pStyle w:val="text10"/>
        <w:jc w:val="both"/>
      </w:pPr>
      <w:r w:rsidRPr="009C26A4">
        <w:t>Article 136 of the Financial Regulation (extracts): only paragraphs 1, 4, 6 and 7 are reproduced hereafter.</w:t>
      </w:r>
    </w:p>
    <w:p w14:paraId="6D67B76C" w14:textId="77777777" w:rsidR="00294E62" w:rsidRPr="009C26A4" w:rsidRDefault="00294E62" w:rsidP="00294E62">
      <w:pPr>
        <w:pStyle w:val="text10"/>
        <w:jc w:val="both"/>
      </w:pPr>
      <w:r w:rsidRPr="009C26A4">
        <w:t>1. The authorising officer responsible shall exclude a person or entity referred to in Article 135 (2) from participating in award procedures governed by this Regulation or from being selected for implementing Union funds where that person or entity is in one or more of the following exclusion situations:</w:t>
      </w:r>
    </w:p>
    <w:p w14:paraId="3EF4A4F8" w14:textId="77777777" w:rsidR="00294E62" w:rsidRPr="009C26A4" w:rsidRDefault="00294E62" w:rsidP="00294E62">
      <w:pPr>
        <w:pStyle w:val="text10"/>
        <w:jc w:val="both"/>
      </w:pPr>
      <w:r w:rsidRPr="009C26A4">
        <w:t>a)</w:t>
      </w:r>
      <w:r w:rsidRPr="009C26A4">
        <w:tab/>
        <w:t>the person or entity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4A6985F3" w14:textId="77777777" w:rsidR="00294E62" w:rsidRPr="009C26A4" w:rsidRDefault="00294E62" w:rsidP="00294E62">
      <w:pPr>
        <w:pStyle w:val="text10"/>
        <w:jc w:val="both"/>
      </w:pPr>
      <w:r w:rsidRPr="009C26A4">
        <w:t>b)</w:t>
      </w:r>
      <w:r w:rsidRPr="009C26A4">
        <w:tab/>
        <w:t>it has been established by a final judgment or a final administrative decision that the person or entity is in breach of its obligations relating to the payment of taxes or social security contributions in accordance with the applicable law;</w:t>
      </w:r>
    </w:p>
    <w:p w14:paraId="4D449C89" w14:textId="77777777" w:rsidR="00294E62" w:rsidRPr="009C26A4" w:rsidRDefault="00294E62" w:rsidP="00294E62">
      <w:pPr>
        <w:pStyle w:val="text10"/>
        <w:jc w:val="both"/>
      </w:pPr>
      <w:r w:rsidRPr="009C26A4">
        <w:t>c)</w:t>
      </w:r>
      <w:r w:rsidRPr="009C26A4">
        <w:tab/>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5C3604C4" w14:textId="77777777" w:rsidR="00294E62" w:rsidRPr="009C26A4" w:rsidRDefault="00294E62" w:rsidP="00294E62">
      <w:pPr>
        <w:pStyle w:val="text10"/>
        <w:jc w:val="both"/>
      </w:pPr>
      <w:r w:rsidRPr="009C26A4">
        <w:t>i)</w:t>
      </w:r>
      <w:r w:rsidRPr="009C26A4">
        <w:tab/>
        <w:t>fraudulently or negligently misrepresenting information required for the verification of the absence of grounds for exclusion or the fulfilment of eligibility or selection criteria or in the implementation of the legal commitment;</w:t>
      </w:r>
    </w:p>
    <w:p w14:paraId="1F61BA9B" w14:textId="77777777" w:rsidR="00294E62" w:rsidRPr="009C26A4" w:rsidRDefault="00294E62" w:rsidP="00294E62">
      <w:pPr>
        <w:pStyle w:val="text10"/>
        <w:jc w:val="both"/>
      </w:pPr>
      <w:r w:rsidRPr="009C26A4">
        <w:t>ii)</w:t>
      </w:r>
      <w:r w:rsidRPr="009C26A4">
        <w:tab/>
        <w:t>entering into agreement with other person or entities with the aim of distorting competition;</w:t>
      </w:r>
    </w:p>
    <w:p w14:paraId="03409944" w14:textId="77777777" w:rsidR="00294E62" w:rsidRPr="009C26A4" w:rsidRDefault="00294E62" w:rsidP="00294E62">
      <w:pPr>
        <w:pStyle w:val="text10"/>
        <w:jc w:val="both"/>
      </w:pPr>
      <w:r w:rsidRPr="009C26A4">
        <w:t>iii)</w:t>
      </w:r>
      <w:r w:rsidRPr="009C26A4">
        <w:tab/>
        <w:t>violating intellectual property rights;</w:t>
      </w:r>
    </w:p>
    <w:p w14:paraId="604467B8" w14:textId="77777777" w:rsidR="00294E62" w:rsidRPr="009C26A4" w:rsidRDefault="00294E62" w:rsidP="00294E62">
      <w:pPr>
        <w:pStyle w:val="text10"/>
        <w:jc w:val="both"/>
      </w:pPr>
      <w:r w:rsidRPr="009C26A4">
        <w:t>iv)</w:t>
      </w:r>
      <w:r w:rsidRPr="009C26A4">
        <w:tab/>
        <w:t>attempting to influence the decision-making of the authorising officer responsible during the award procedure;</w:t>
      </w:r>
    </w:p>
    <w:p w14:paraId="3B4BE985" w14:textId="77777777" w:rsidR="00294E62" w:rsidRPr="009C26A4" w:rsidRDefault="00294E62" w:rsidP="00294E62">
      <w:pPr>
        <w:pStyle w:val="text10"/>
        <w:jc w:val="both"/>
      </w:pPr>
      <w:r w:rsidRPr="009C26A4">
        <w:t>v)</w:t>
      </w:r>
      <w:r w:rsidRPr="009C26A4">
        <w:tab/>
        <w:t>attempting to obtain confidential information that may confer upon it undue advantages in the award procedure;</w:t>
      </w:r>
    </w:p>
    <w:p w14:paraId="6A4A5E78" w14:textId="77777777" w:rsidR="00294E62" w:rsidRPr="009C26A4" w:rsidRDefault="00294E62" w:rsidP="00294E62">
      <w:pPr>
        <w:pStyle w:val="text10"/>
        <w:jc w:val="both"/>
      </w:pPr>
      <w:r w:rsidRPr="009C26A4">
        <w:t>d)</w:t>
      </w:r>
      <w:r w:rsidRPr="009C26A4">
        <w:tab/>
        <w:t xml:space="preserve">it has been established by a final judgment that the person or entity is guilty of any of the following: </w:t>
      </w:r>
    </w:p>
    <w:p w14:paraId="4217028D" w14:textId="77777777" w:rsidR="00294E62" w:rsidRPr="009C26A4" w:rsidRDefault="00294E62" w:rsidP="00294E62">
      <w:pPr>
        <w:pStyle w:val="text10"/>
        <w:jc w:val="both"/>
      </w:pPr>
      <w:r w:rsidRPr="009C26A4">
        <w:t>i)</w:t>
      </w:r>
      <w:r w:rsidRPr="009C26A4">
        <w:tab/>
        <w:t xml:space="preserve">fraud, within the meaning of Article 3 of Directive (EU) 2017/1371 of the European Parliament and of the Council and Article 1 of the Convention on the protection of the European Communities' financial interests, drawn up by the Council Act of 26 July 1995; </w:t>
      </w:r>
    </w:p>
    <w:p w14:paraId="07C9B6B7" w14:textId="77777777" w:rsidR="00294E62" w:rsidRPr="009C26A4" w:rsidRDefault="00294E62" w:rsidP="00294E62">
      <w:pPr>
        <w:pStyle w:val="text10"/>
        <w:jc w:val="both"/>
      </w:pPr>
      <w:r w:rsidRPr="009C26A4">
        <w:lastRenderedPageBreak/>
        <w:t>ii)</w:t>
      </w:r>
      <w:r w:rsidRPr="009C26A4">
        <w:tab/>
        <w:t xml:space="preserve">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 </w:t>
      </w:r>
    </w:p>
    <w:p w14:paraId="607335A3" w14:textId="77777777" w:rsidR="00294E62" w:rsidRPr="009C26A4" w:rsidRDefault="00294E62" w:rsidP="00294E62">
      <w:pPr>
        <w:pStyle w:val="text10"/>
        <w:jc w:val="both"/>
      </w:pPr>
      <w:r w:rsidRPr="009C26A4">
        <w:t>iii)</w:t>
      </w:r>
      <w:r w:rsidRPr="009C26A4">
        <w:tab/>
        <w:t xml:space="preserve">conduct related to a criminal organisation, as referred to in Article 2 of Council Framework Decision 2008/841/JHA; </w:t>
      </w:r>
    </w:p>
    <w:p w14:paraId="3EDDA008" w14:textId="77777777" w:rsidR="00294E62" w:rsidRPr="009C26A4" w:rsidRDefault="00294E62" w:rsidP="00294E62">
      <w:pPr>
        <w:pStyle w:val="text10"/>
        <w:jc w:val="both"/>
      </w:pPr>
      <w:r w:rsidRPr="009C26A4">
        <w:t>iv)</w:t>
      </w:r>
      <w:r w:rsidRPr="009C26A4">
        <w:tab/>
        <w:t xml:space="preserve">money laundering or terrorist financing, within the meaning of Article 1(3), (4) and (5) of Directive (EU) 2015/849 of the European Parliament and of the Council; </w:t>
      </w:r>
    </w:p>
    <w:p w14:paraId="5751295F" w14:textId="77777777" w:rsidR="00294E62" w:rsidRPr="009C26A4" w:rsidRDefault="00294E62" w:rsidP="00294E62">
      <w:pPr>
        <w:pStyle w:val="text10"/>
        <w:jc w:val="both"/>
      </w:pPr>
      <w:r w:rsidRPr="009C26A4">
        <w:t>v)</w:t>
      </w:r>
      <w:r w:rsidRPr="009C26A4">
        <w:tab/>
        <w:t xml:space="preserve">terrorist offences or offences linked to terrorist activities, as defined in Articles 1 and 3 of Council Framework Decision 2002/475/JHA , respectively, or inciting, aiding, abetting or attempting to commit such offences, as referred to in Article 4 of that Decision; </w:t>
      </w:r>
    </w:p>
    <w:p w14:paraId="5FAD12E0" w14:textId="77777777" w:rsidR="00294E62" w:rsidRPr="009C26A4" w:rsidRDefault="00294E62" w:rsidP="00294E62">
      <w:pPr>
        <w:pStyle w:val="text10"/>
        <w:jc w:val="both"/>
      </w:pPr>
      <w:r w:rsidRPr="009C26A4">
        <w:t>vi)</w:t>
      </w:r>
      <w:r w:rsidRPr="009C26A4">
        <w:tab/>
        <w:t xml:space="preserve">child labour or other offences concerning trafficking in human beings as referred to in Article 2 of Directive 2011/36/EU of the European Parliament and of the Council; </w:t>
      </w:r>
    </w:p>
    <w:p w14:paraId="0DBA14C3" w14:textId="77777777" w:rsidR="00294E62" w:rsidRPr="009C26A4" w:rsidRDefault="00294E62" w:rsidP="00294E62">
      <w:pPr>
        <w:pStyle w:val="text10"/>
        <w:jc w:val="both"/>
      </w:pPr>
      <w:r w:rsidRPr="009C26A4">
        <w:t>e)</w:t>
      </w:r>
      <w:r w:rsidRPr="009C26A4">
        <w:tab/>
        <w:t xml:space="preserve">the person or entity has shown significant deficiencies in complying with main obligations in the implementation of a legal commitment financed by the budget, which has </w:t>
      </w:r>
    </w:p>
    <w:p w14:paraId="36BB3A35" w14:textId="77777777" w:rsidR="00294E62" w:rsidRPr="009C26A4" w:rsidRDefault="00294E62" w:rsidP="00294E62">
      <w:pPr>
        <w:pStyle w:val="text10"/>
        <w:jc w:val="both"/>
      </w:pPr>
      <w:r w:rsidRPr="009C26A4">
        <w:t>(i) led to the early termination of a legal commitment;</w:t>
      </w:r>
    </w:p>
    <w:p w14:paraId="47B4D407" w14:textId="77777777" w:rsidR="00294E62" w:rsidRPr="009C26A4" w:rsidRDefault="00294E62" w:rsidP="00294E62">
      <w:pPr>
        <w:pStyle w:val="text10"/>
        <w:jc w:val="both"/>
      </w:pPr>
      <w:r w:rsidRPr="009C26A4">
        <w:t>(ii) led to the application of liquidated damages or other contractual penalties, or</w:t>
      </w:r>
    </w:p>
    <w:p w14:paraId="7F36E309" w14:textId="77777777" w:rsidR="00294E62" w:rsidRPr="009C26A4" w:rsidRDefault="00294E62" w:rsidP="00294E62">
      <w:pPr>
        <w:pStyle w:val="text10"/>
        <w:jc w:val="both"/>
      </w:pPr>
      <w:r w:rsidRPr="009C26A4">
        <w:t xml:space="preserve">(iii) been discovered by an authorising officer, OLAF or the Court of Auditors following checks, audits or investigations; </w:t>
      </w:r>
    </w:p>
    <w:p w14:paraId="77B0CFF2" w14:textId="77777777" w:rsidR="00294E62" w:rsidRPr="009C26A4" w:rsidRDefault="00294E62" w:rsidP="00294E62">
      <w:pPr>
        <w:pStyle w:val="text10"/>
        <w:jc w:val="both"/>
      </w:pPr>
      <w:r w:rsidRPr="009C26A4">
        <w:t>f)</w:t>
      </w:r>
      <w:r w:rsidRPr="009C26A4">
        <w:tab/>
        <w:t>it has been established by a final judgment or final administrative decision that the person or entity has committed an irregularity within the meaning of Article 1(2) of Council Regulation (EC, Euratom) No 2988/95;</w:t>
      </w:r>
    </w:p>
    <w:p w14:paraId="55266488" w14:textId="77777777" w:rsidR="00294E62" w:rsidRPr="009C26A4" w:rsidRDefault="00294E62" w:rsidP="00294E62">
      <w:pPr>
        <w:pStyle w:val="text10"/>
        <w:jc w:val="both"/>
      </w:pPr>
      <w:r w:rsidRPr="009C26A4">
        <w:t>g)</w:t>
      </w:r>
      <w:r w:rsidRPr="009C26A4">
        <w:tab/>
        <w:t>it has been established by a final judgement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CEBABB8" w14:textId="77777777" w:rsidR="00294E62" w:rsidRPr="009C26A4" w:rsidRDefault="00294E62" w:rsidP="00294E62">
      <w:pPr>
        <w:pStyle w:val="text10"/>
        <w:jc w:val="both"/>
      </w:pPr>
      <w:r w:rsidRPr="009C26A4">
        <w:t>h)</w:t>
      </w:r>
      <w:r w:rsidRPr="009C26A4">
        <w:tab/>
        <w:t>it has been established by a final judgement or final administrative decision that an entity has been created with the intent referred to in point (g).</w:t>
      </w:r>
    </w:p>
    <w:p w14:paraId="3827846A" w14:textId="77777777" w:rsidR="00294E62" w:rsidRPr="009C26A4" w:rsidRDefault="00294E62" w:rsidP="00294E62">
      <w:pPr>
        <w:pStyle w:val="text10"/>
        <w:jc w:val="both"/>
      </w:pPr>
      <w:r w:rsidRPr="009C26A4">
        <w:t>(.....)</w:t>
      </w:r>
      <w:r w:rsidRPr="009C26A4">
        <w:tab/>
      </w:r>
    </w:p>
    <w:p w14:paraId="5F0FB6CA" w14:textId="77777777" w:rsidR="00294E62" w:rsidRPr="009C26A4" w:rsidRDefault="00294E62" w:rsidP="00294E62">
      <w:pPr>
        <w:pStyle w:val="text10"/>
        <w:jc w:val="both"/>
      </w:pPr>
      <w:r w:rsidRPr="009C26A4">
        <w:t>4. The authorising officer responsible shall exclude a person or entity referred to in Article 135(2), where:</w:t>
      </w:r>
    </w:p>
    <w:p w14:paraId="78E44CE1" w14:textId="77777777" w:rsidR="00294E62" w:rsidRPr="009C26A4" w:rsidRDefault="00294E62" w:rsidP="00294E62">
      <w:pPr>
        <w:pStyle w:val="text10"/>
        <w:jc w:val="both"/>
      </w:pPr>
      <w:r w:rsidRPr="009C26A4">
        <w:t>(a)</w:t>
      </w:r>
      <w:r w:rsidRPr="009C26A4">
        <w:tab/>
        <w:t xml:space="preserve"> a natural or legal person who is a member of the administrative, management or supervisory body of the person or entity referred to in Article 135(2), or who has powers of representation, decision or control with regard to that person or entity, is in one or more of the situations referred to in points (c) to (h) of paragraph 1 of this Article. </w:t>
      </w:r>
    </w:p>
    <w:p w14:paraId="69664A59" w14:textId="77777777" w:rsidR="00294E62" w:rsidRPr="009C26A4" w:rsidRDefault="00294E62" w:rsidP="00294E62">
      <w:pPr>
        <w:pStyle w:val="text10"/>
        <w:jc w:val="both"/>
      </w:pPr>
      <w:r w:rsidRPr="009C26A4">
        <w:lastRenderedPageBreak/>
        <w:t>(b)</w:t>
      </w:r>
      <w:r w:rsidRPr="009C26A4">
        <w:tab/>
        <w:t xml:space="preserve"> a natural or legal person that assumes unlimited liability for the debts of the person or entity referred to in Article 135(2) is in one or more of the situations referred to in point (a) or (b) of paragraph 1 of this Article. </w:t>
      </w:r>
    </w:p>
    <w:p w14:paraId="143F26DB" w14:textId="77777777" w:rsidR="00294E62" w:rsidRPr="009C26A4" w:rsidRDefault="00294E62" w:rsidP="00294E62">
      <w:pPr>
        <w:pStyle w:val="text10"/>
        <w:jc w:val="both"/>
      </w:pPr>
      <w:r w:rsidRPr="009C26A4">
        <w:t>(.....)</w:t>
      </w:r>
      <w:r w:rsidRPr="009C26A4">
        <w:tab/>
      </w:r>
    </w:p>
    <w:p w14:paraId="55C24FF6" w14:textId="77777777" w:rsidR="00294E62" w:rsidRPr="009C26A4" w:rsidRDefault="00294E62" w:rsidP="00294E62">
      <w:pPr>
        <w:pStyle w:val="text10"/>
        <w:jc w:val="both"/>
      </w:pPr>
      <w:r w:rsidRPr="009C26A4">
        <w:t xml:space="preserve">6. The authorising officer responsible, having regard, where applicable, to the recommendation of the panel referred to in Article 143, shall not exclude an person or entity referred to in Article 135(2) from participating in an award procedure or from being selected for implementing Union funds where: </w:t>
      </w:r>
    </w:p>
    <w:p w14:paraId="1A82773F" w14:textId="77777777" w:rsidR="00294E62" w:rsidRPr="009C26A4" w:rsidRDefault="00294E62" w:rsidP="00294E62">
      <w:pPr>
        <w:pStyle w:val="text10"/>
        <w:jc w:val="both"/>
      </w:pPr>
      <w:r w:rsidRPr="009C26A4">
        <w:t>a)</w:t>
      </w:r>
      <w:r w:rsidRPr="009C26A4">
        <w:tab/>
        <w:t xml:space="preserve">the person or entity has taken remedial measures as specified in paragraph 7 of this Article, to an extent that is sufficient to demonstrate its reliability. This point shall not apply in the case referred to in point (d) of paragraph 1 of this Article; </w:t>
      </w:r>
    </w:p>
    <w:p w14:paraId="1A256E6D" w14:textId="77777777" w:rsidR="00294E62" w:rsidRPr="009C26A4" w:rsidRDefault="00294E62" w:rsidP="00294E62">
      <w:pPr>
        <w:pStyle w:val="text10"/>
        <w:jc w:val="both"/>
      </w:pPr>
      <w:r w:rsidRPr="009C26A4">
        <w:t>b)</w:t>
      </w:r>
      <w:r w:rsidRPr="009C26A4">
        <w:tab/>
        <w:t xml:space="preserve">it is indispensable to ensure the continuity of service, for a limited duration and pending the adoption of remedial measures specified in paragraph 7 of this Article ; </w:t>
      </w:r>
    </w:p>
    <w:p w14:paraId="290A0A77" w14:textId="77777777" w:rsidR="00294E62" w:rsidRPr="009C26A4" w:rsidRDefault="00294E62" w:rsidP="00294E62">
      <w:pPr>
        <w:pStyle w:val="text10"/>
        <w:jc w:val="both"/>
      </w:pPr>
      <w:r w:rsidRPr="009C26A4">
        <w:t>c)</w:t>
      </w:r>
      <w:r w:rsidRPr="009C26A4">
        <w:tab/>
        <w:t>such an exclusion would be disproportionate on the basis of the criteria referred to in paragraph 3 of this Article.</w:t>
      </w:r>
    </w:p>
    <w:p w14:paraId="014039EC" w14:textId="77777777" w:rsidR="00294E62" w:rsidRPr="009C26A4" w:rsidRDefault="00294E62" w:rsidP="00294E62">
      <w:pPr>
        <w:pStyle w:val="text10"/>
        <w:jc w:val="both"/>
      </w:pPr>
      <w:r w:rsidRPr="009C26A4">
        <w:t>In addition, point (a) of paragraph 1 of this Article shall not apply in the case of the purchase of supplies on particularly advantageous terms from either a supplier which is definitively winding up its business activities or the liquidators in an insolvency procedure, an arrangement with creditors, or a similar procedure under Union or national law.</w:t>
      </w:r>
    </w:p>
    <w:p w14:paraId="17FAB92D" w14:textId="77777777" w:rsidR="00294E62" w:rsidRPr="009C26A4" w:rsidRDefault="00294E62" w:rsidP="00294E62">
      <w:pPr>
        <w:pStyle w:val="text10"/>
        <w:jc w:val="both"/>
      </w:pPr>
      <w:r w:rsidRPr="009C26A4">
        <w:t xml:space="preserve"> In the cases of non-exclusion referred to in the first and second subparagraphs of this paragraph, the authorising officer responsible shall specify the reasons for not excluding the person or entity referred to in Article 135(2) and inform the panel referred to in Article 143 of those reasons.</w:t>
      </w:r>
    </w:p>
    <w:p w14:paraId="089EADCC" w14:textId="77777777" w:rsidR="00294E62" w:rsidRPr="009C26A4" w:rsidRDefault="00294E62" w:rsidP="00294E62">
      <w:pPr>
        <w:pStyle w:val="text10"/>
        <w:jc w:val="both"/>
      </w:pPr>
      <w:r w:rsidRPr="009C26A4">
        <w:t>7. The remedial measures referred to in point (a) of the first subparagraph of paragraph 6,shall include, in particular:</w:t>
      </w:r>
    </w:p>
    <w:p w14:paraId="4A7E1DCC" w14:textId="77777777" w:rsidR="00294E62" w:rsidRPr="009C26A4" w:rsidRDefault="00294E62" w:rsidP="00294E62">
      <w:pPr>
        <w:pStyle w:val="text10"/>
        <w:jc w:val="both"/>
      </w:pPr>
      <w:r w:rsidRPr="009C26A4">
        <w:t>a)</w:t>
      </w:r>
      <w:r w:rsidRPr="009C26A4">
        <w:tab/>
        <w:t xml:space="preserve">measures to identify the origin of the situations giving rise to exclusion and concrete technical, organisational and personnel measures within the relevant business or activity area of the person or entity referred to in Article 135(2), appropriate to correct the conduct and prevent its further occurrence; </w:t>
      </w:r>
    </w:p>
    <w:p w14:paraId="634A0385" w14:textId="77777777" w:rsidR="00294E62" w:rsidRPr="009C26A4" w:rsidRDefault="00294E62" w:rsidP="00294E62">
      <w:pPr>
        <w:pStyle w:val="text10"/>
        <w:jc w:val="both"/>
      </w:pPr>
      <w:r w:rsidRPr="009C26A4">
        <w:t>b)</w:t>
      </w:r>
      <w:r w:rsidRPr="009C26A4">
        <w:tab/>
        <w:t xml:space="preserve">proof that the person or entity referred to in Article 135(2) has undertaken measures to compensate or redress the damage or harm caused to the financial interests of the Union by the underlying facts giving rise to the exclusion situation; </w:t>
      </w:r>
    </w:p>
    <w:p w14:paraId="2975F6C2" w14:textId="77777777" w:rsidR="00294E62" w:rsidRPr="009C26A4" w:rsidRDefault="00294E62" w:rsidP="00294E62">
      <w:pPr>
        <w:pStyle w:val="text10"/>
        <w:jc w:val="both"/>
      </w:pPr>
      <w:r w:rsidRPr="009C26A4">
        <w:t>c)</w:t>
      </w:r>
      <w:r w:rsidRPr="009C26A4">
        <w:tab/>
        <w:t xml:space="preserve">proof that the person or entity referred to in Article 135(2) has paid or secured the payment of any fine imposed by the competent authority or of any taxes or social security contributions referred to in point (b) of paragraph 1 of this Article. </w:t>
      </w:r>
    </w:p>
    <w:p w14:paraId="2D884A78" w14:textId="77777777" w:rsidR="00DC3EB4" w:rsidRPr="009C26A4" w:rsidRDefault="00DC3EB4" w:rsidP="00DC3EB4">
      <w:pPr>
        <w:spacing w:after="240"/>
        <w:jc w:val="both"/>
      </w:pPr>
    </w:p>
    <w:p w14:paraId="609D96D6" w14:textId="218CBFC7" w:rsidR="00966C1F" w:rsidRPr="009C26A4" w:rsidRDefault="00966C1F">
      <w:pPr>
        <w:spacing w:after="240"/>
        <w:jc w:val="both"/>
      </w:pPr>
      <w:r w:rsidRPr="009C26A4">
        <w:t>The tenderer is invited to complete the Annex III where the exclusion criteria are mentioned</w:t>
      </w:r>
      <w:r w:rsidRPr="009C26A4">
        <w:rPr>
          <w:b/>
        </w:rPr>
        <w:t xml:space="preserve">. </w:t>
      </w:r>
    </w:p>
    <w:p w14:paraId="18B08741" w14:textId="77777777" w:rsidR="00DC3EB4" w:rsidRPr="009C26A4" w:rsidRDefault="00DC3EB4" w:rsidP="00DC3EB4">
      <w:pPr>
        <w:spacing w:before="120" w:after="120"/>
        <w:jc w:val="both"/>
      </w:pPr>
      <w:r w:rsidRPr="009C26A4">
        <w:rPr>
          <w:u w:val="single"/>
        </w:rPr>
        <w:t>Article 141 of the Financial Regulation (extracts):</w:t>
      </w:r>
      <w:r w:rsidRPr="009C26A4">
        <w:rPr>
          <w:color w:val="000000"/>
          <w:u w:val="single"/>
        </w:rPr>
        <w:t xml:space="preserve"> only paragraph 1 of Article 141 has been reproduced.</w:t>
      </w:r>
    </w:p>
    <w:p w14:paraId="47419796" w14:textId="77777777" w:rsidR="00DC3EB4" w:rsidRPr="009C26A4" w:rsidRDefault="00DC3EB4" w:rsidP="00DC3EB4">
      <w:pPr>
        <w:spacing w:before="120" w:after="120"/>
        <w:jc w:val="both"/>
        <w:rPr>
          <w:color w:val="000000"/>
        </w:rPr>
      </w:pPr>
      <w:r w:rsidRPr="009C26A4">
        <w:rPr>
          <w:b/>
          <w:color w:val="000000"/>
        </w:rPr>
        <w:lastRenderedPageBreak/>
        <w:t>Rejection from a</w:t>
      </w:r>
      <w:r w:rsidR="00294E62" w:rsidRPr="009C26A4">
        <w:rPr>
          <w:b/>
          <w:color w:val="000000"/>
        </w:rPr>
        <w:t>n award</w:t>
      </w:r>
      <w:r w:rsidRPr="009C26A4">
        <w:rPr>
          <w:b/>
          <w:color w:val="000000"/>
        </w:rPr>
        <w:t xml:space="preserve"> procedure</w:t>
      </w:r>
    </w:p>
    <w:p w14:paraId="3A614091" w14:textId="77777777" w:rsidR="00DC3EB4" w:rsidRPr="009C26A4" w:rsidRDefault="00DC3EB4" w:rsidP="00DC3EB4">
      <w:pPr>
        <w:pStyle w:val="Normal10"/>
        <w:rPr>
          <w:color w:val="000000"/>
        </w:rPr>
      </w:pPr>
      <w:r w:rsidRPr="009C26A4">
        <w:rPr>
          <w:color w:val="000000"/>
        </w:rPr>
        <w:t>The authorising officer responsible shall reject from an award procedure a participant who:</w:t>
      </w:r>
    </w:p>
    <w:tbl>
      <w:tblPr>
        <w:tblW w:w="5000" w:type="pct"/>
        <w:tblCellSpacing w:w="0" w:type="dxa"/>
        <w:tblCellMar>
          <w:left w:w="0" w:type="dxa"/>
          <w:right w:w="0" w:type="dxa"/>
        </w:tblCellMar>
        <w:tblLook w:val="04A0" w:firstRow="1" w:lastRow="0" w:firstColumn="1" w:lastColumn="0" w:noHBand="0" w:noVBand="1"/>
      </w:tblPr>
      <w:tblGrid>
        <w:gridCol w:w="344"/>
        <w:gridCol w:w="8727"/>
      </w:tblGrid>
      <w:tr w:rsidR="00DC3EB4" w:rsidRPr="0016702E" w14:paraId="5CAC9EE5" w14:textId="77777777" w:rsidTr="00DC3EB4">
        <w:trPr>
          <w:tblCellSpacing w:w="0" w:type="dxa"/>
        </w:trPr>
        <w:tc>
          <w:tcPr>
            <w:tcW w:w="0" w:type="auto"/>
            <w:hideMark/>
          </w:tcPr>
          <w:p w14:paraId="3FF6C3CE" w14:textId="77777777" w:rsidR="00DC3EB4" w:rsidRPr="009C26A4" w:rsidRDefault="00DC3EB4" w:rsidP="00DC3EB4">
            <w:pPr>
              <w:pStyle w:val="Normal10"/>
              <w:rPr>
                <w:color w:val="000000"/>
              </w:rPr>
            </w:pPr>
            <w:r w:rsidRPr="009C26A4">
              <w:rPr>
                <w:color w:val="000000"/>
              </w:rPr>
              <w:t>(a)</w:t>
            </w:r>
          </w:p>
        </w:tc>
        <w:tc>
          <w:tcPr>
            <w:tcW w:w="0" w:type="auto"/>
            <w:hideMark/>
          </w:tcPr>
          <w:p w14:paraId="78C29A76" w14:textId="77777777" w:rsidR="00DC3EB4" w:rsidRPr="009C26A4" w:rsidRDefault="00DC3EB4" w:rsidP="00DC3EB4">
            <w:pPr>
              <w:pStyle w:val="Normal10"/>
              <w:rPr>
                <w:color w:val="000000"/>
              </w:rPr>
            </w:pPr>
            <w:r w:rsidRPr="009C26A4">
              <w:rPr>
                <w:color w:val="000000"/>
              </w:rPr>
              <w:t>is in an exclusion situation established in accordance with Article 136;</w:t>
            </w:r>
          </w:p>
        </w:tc>
      </w:tr>
    </w:tbl>
    <w:p w14:paraId="6558A51C" w14:textId="77777777" w:rsidR="00DC3EB4" w:rsidRPr="009C26A4" w:rsidRDefault="00DC3EB4" w:rsidP="00DC3EB4">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1"/>
      </w:tblGrid>
      <w:tr w:rsidR="00DC3EB4" w:rsidRPr="0016702E" w14:paraId="5FB24719" w14:textId="77777777" w:rsidTr="00DC3EB4">
        <w:trPr>
          <w:tblCellSpacing w:w="0" w:type="dxa"/>
        </w:trPr>
        <w:tc>
          <w:tcPr>
            <w:tcW w:w="0" w:type="auto"/>
            <w:hideMark/>
          </w:tcPr>
          <w:p w14:paraId="14C30EEC" w14:textId="77777777" w:rsidR="00DC3EB4" w:rsidRPr="009C26A4" w:rsidRDefault="00DC3EB4" w:rsidP="00DC3EB4">
            <w:pPr>
              <w:pStyle w:val="Normal10"/>
              <w:rPr>
                <w:color w:val="000000"/>
              </w:rPr>
            </w:pPr>
            <w:r w:rsidRPr="009C26A4">
              <w:rPr>
                <w:color w:val="000000"/>
              </w:rPr>
              <w:t>(b)</w:t>
            </w:r>
          </w:p>
        </w:tc>
        <w:tc>
          <w:tcPr>
            <w:tcW w:w="0" w:type="auto"/>
            <w:hideMark/>
          </w:tcPr>
          <w:p w14:paraId="1A202EDB" w14:textId="77777777" w:rsidR="00DC3EB4" w:rsidRPr="009C26A4" w:rsidRDefault="00294E62" w:rsidP="00DC3EB4">
            <w:pPr>
              <w:pStyle w:val="Normal10"/>
              <w:rPr>
                <w:color w:val="000000"/>
              </w:rPr>
            </w:pPr>
            <w:r w:rsidRPr="009C26A4">
              <w:rPr>
                <w:color w:val="000000"/>
              </w:rPr>
              <w:t xml:space="preserve"> </w:t>
            </w:r>
            <w:r w:rsidR="00DC3EB4" w:rsidRPr="009C26A4">
              <w:rPr>
                <w:color w:val="000000"/>
              </w:rPr>
              <w:t>has misrepresented the information required as a condition for participating in the procedure or has failed to supply that information;</w:t>
            </w:r>
          </w:p>
        </w:tc>
      </w:tr>
    </w:tbl>
    <w:p w14:paraId="555E651E" w14:textId="77777777" w:rsidR="00DC3EB4" w:rsidRPr="009C26A4" w:rsidRDefault="00DC3EB4" w:rsidP="00DC3EB4">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67"/>
        <w:gridCol w:w="8804"/>
      </w:tblGrid>
      <w:tr w:rsidR="00DC3EB4" w:rsidRPr="0016702E" w14:paraId="5F5E9274" w14:textId="77777777" w:rsidTr="00DC3EB4">
        <w:trPr>
          <w:tblCellSpacing w:w="0" w:type="dxa"/>
        </w:trPr>
        <w:tc>
          <w:tcPr>
            <w:tcW w:w="0" w:type="auto"/>
            <w:hideMark/>
          </w:tcPr>
          <w:p w14:paraId="215A2457" w14:textId="77777777" w:rsidR="00DC3EB4" w:rsidRPr="009C26A4" w:rsidRDefault="00DC3EB4" w:rsidP="00DC3EB4">
            <w:pPr>
              <w:pStyle w:val="Normal10"/>
              <w:rPr>
                <w:color w:val="000000"/>
              </w:rPr>
            </w:pPr>
            <w:r w:rsidRPr="009C26A4">
              <w:rPr>
                <w:color w:val="000000"/>
              </w:rPr>
              <w:t>(c)</w:t>
            </w:r>
          </w:p>
        </w:tc>
        <w:tc>
          <w:tcPr>
            <w:tcW w:w="0" w:type="auto"/>
            <w:hideMark/>
          </w:tcPr>
          <w:p w14:paraId="1A30DB6D" w14:textId="77777777" w:rsidR="00DC3EB4" w:rsidRPr="009C26A4" w:rsidRDefault="00DC3EB4" w:rsidP="00DC3EB4">
            <w:pPr>
              <w:pStyle w:val="Normal10"/>
              <w:rPr>
                <w:color w:val="000000"/>
              </w:rPr>
            </w:pPr>
            <w:r w:rsidRPr="009C26A4">
              <w:rPr>
                <w:color w:val="000000"/>
              </w:rPr>
              <w:t xml:space="preserve">  was previously involved in the preparation of documents used in the award procedure where this entails a breach of the principle of equality of treatment, including distortion of competition, that cannot be remedied otherwise.</w:t>
            </w:r>
          </w:p>
        </w:tc>
      </w:tr>
    </w:tbl>
    <w:p w14:paraId="4A254C46" w14:textId="77777777" w:rsidR="00DC3EB4" w:rsidRPr="009C26A4" w:rsidRDefault="00DC3EB4" w:rsidP="00DC3EB4">
      <w:pPr>
        <w:pStyle w:val="Normal10"/>
        <w:rPr>
          <w:color w:val="000000"/>
        </w:rPr>
      </w:pPr>
      <w:r w:rsidRPr="009C26A4">
        <w:rPr>
          <w:color w:val="000000"/>
        </w:rPr>
        <w:t>The authorising officer responsible shall communicate to the other participants in the award procedure the relevant information exchanged in the context of or resulting from the involvement of the participant in the preparation of the award procedure as referred to in point (c) of the first subparagraph. Prior to any such rejection the participant shall be given the opportunity to prove that its involvement in preparing the award procedure does not breach the principle of equality of treatment.</w:t>
      </w:r>
    </w:p>
    <w:p w14:paraId="13EBF4FF" w14:textId="77777777" w:rsidR="00710CC7" w:rsidRPr="009C26A4" w:rsidRDefault="00710CC7" w:rsidP="002D3FF0">
      <w:pPr>
        <w:jc w:val="both"/>
        <w:rPr>
          <w:b/>
        </w:rPr>
      </w:pPr>
    </w:p>
    <w:p w14:paraId="5E228CC3" w14:textId="77777777" w:rsidR="00BD0B76" w:rsidRPr="009C26A4" w:rsidRDefault="00BD0B76">
      <w:pPr>
        <w:spacing w:after="240"/>
        <w:jc w:val="both"/>
        <w:rPr>
          <w:b/>
        </w:rPr>
      </w:pPr>
      <w:r w:rsidRPr="009C26A4">
        <w:rPr>
          <w:b/>
        </w:rPr>
        <w:t>Evaluation of the exclusion criteria</w:t>
      </w:r>
    </w:p>
    <w:p w14:paraId="6E6A0697" w14:textId="19486027" w:rsidR="00BD0B76" w:rsidRPr="009C26A4" w:rsidRDefault="00BD0B76" w:rsidP="002F495A">
      <w:pPr>
        <w:numPr>
          <w:ilvl w:val="0"/>
          <w:numId w:val="7"/>
        </w:numPr>
        <w:spacing w:after="240"/>
        <w:jc w:val="both"/>
      </w:pPr>
      <w:r w:rsidRPr="009C26A4">
        <w:t xml:space="preserve">All tenderers must submit the declaration on the tenderer’s honour, duly dated and signed, which is set out in Annex III. </w:t>
      </w:r>
    </w:p>
    <w:p w14:paraId="2F828794" w14:textId="7DC68043" w:rsidR="008C53AC" w:rsidRPr="009C26A4" w:rsidRDefault="008C53AC" w:rsidP="00FB008B">
      <w:pPr>
        <w:numPr>
          <w:ilvl w:val="0"/>
          <w:numId w:val="7"/>
        </w:numPr>
        <w:spacing w:after="240"/>
        <w:jc w:val="both"/>
      </w:pPr>
      <w:r w:rsidRPr="009C26A4">
        <w:t>In the case of a consortium of economic operators, the declaration on honour shall be provided by all the members of the consortium.</w:t>
      </w:r>
    </w:p>
    <w:p w14:paraId="3D980651" w14:textId="089D6F65" w:rsidR="00D22BB2" w:rsidRPr="009C26A4" w:rsidRDefault="00D22BB2" w:rsidP="002F495A">
      <w:pPr>
        <w:numPr>
          <w:ilvl w:val="0"/>
          <w:numId w:val="7"/>
        </w:numPr>
        <w:spacing w:after="240"/>
        <w:jc w:val="both"/>
      </w:pPr>
      <w:r w:rsidRPr="009C26A4">
        <w:t xml:space="preserve">The tenderer to whom the contract is to be awarded will be required, within </w:t>
      </w:r>
      <w:r w:rsidR="00ED56B0" w:rsidRPr="009C26A4">
        <w:t>14</w:t>
      </w:r>
      <w:r w:rsidRPr="009C26A4">
        <w:t xml:space="preserve"> calendar days of the date of notification of the provisional award of the contract and before the contract is signed, to supply the following documentary evidence:</w:t>
      </w:r>
    </w:p>
    <w:p w14:paraId="0C372B32" w14:textId="29B011AB" w:rsidR="008C53AC" w:rsidRPr="009C26A4" w:rsidRDefault="008C53AC" w:rsidP="00FB008B">
      <w:pPr>
        <w:numPr>
          <w:ilvl w:val="0"/>
          <w:numId w:val="4"/>
        </w:numPr>
        <w:tabs>
          <w:tab w:val="clear" w:pos="360"/>
          <w:tab w:val="num" w:pos="1140"/>
        </w:tabs>
        <w:snapToGrid w:val="0"/>
        <w:spacing w:after="240"/>
        <w:ind w:left="1140"/>
        <w:jc w:val="both"/>
      </w:pPr>
      <w:r w:rsidRPr="009C26A4">
        <w:t>(a) appropriate evidence that it is not in one of the exclusion situations referred to in Article 136(1);</w:t>
      </w:r>
    </w:p>
    <w:p w14:paraId="3B80C181" w14:textId="77777777" w:rsidR="008C53AC" w:rsidRPr="009C26A4" w:rsidRDefault="008C53AC" w:rsidP="008C53AC">
      <w:pPr>
        <w:numPr>
          <w:ilvl w:val="0"/>
          <w:numId w:val="4"/>
        </w:numPr>
        <w:tabs>
          <w:tab w:val="clear" w:pos="360"/>
          <w:tab w:val="num" w:pos="1140"/>
        </w:tabs>
        <w:snapToGrid w:val="0"/>
        <w:spacing w:after="240"/>
        <w:ind w:left="1140"/>
        <w:jc w:val="both"/>
      </w:pPr>
      <w:r w:rsidRPr="009C26A4">
        <w:t>(b) information on natural or legal persons that are members of the administrative, management or supervisory body of the participant or that have powers of representation, decision or control with regard to that participant, including persons and entities within the ownership and control structure and beneficial owners, and appropriate evidence that none of those persons are in one of the exclusion situations referred to in points (c) to (f) of Article 136(1).</w:t>
      </w:r>
    </w:p>
    <w:p w14:paraId="558C4F5F" w14:textId="77777777" w:rsidR="008C53AC" w:rsidRPr="009C26A4" w:rsidRDefault="008C53AC" w:rsidP="008C53AC">
      <w:pPr>
        <w:numPr>
          <w:ilvl w:val="0"/>
          <w:numId w:val="4"/>
        </w:numPr>
        <w:tabs>
          <w:tab w:val="clear" w:pos="360"/>
          <w:tab w:val="num" w:pos="1140"/>
        </w:tabs>
        <w:snapToGrid w:val="0"/>
        <w:spacing w:after="240"/>
        <w:ind w:left="1140"/>
        <w:jc w:val="both"/>
      </w:pPr>
      <w:r w:rsidRPr="009C26A4">
        <w:t xml:space="preserve">(c) appropriate evidence that natural or legal persons that assume unlimited liability for the debts of that participant are not in an exclusion situation referred to in point (a) or (b) of Article 136(1). </w:t>
      </w:r>
    </w:p>
    <w:p w14:paraId="02CDE3BB" w14:textId="77777777" w:rsidR="00BD0B76" w:rsidRPr="009C26A4" w:rsidRDefault="00BD0B76" w:rsidP="008E5C29">
      <w:pPr>
        <w:spacing w:after="120"/>
        <w:ind w:left="720"/>
        <w:jc w:val="both"/>
      </w:pPr>
    </w:p>
    <w:p w14:paraId="2FA625D9" w14:textId="77777777" w:rsidR="00BD0B76" w:rsidRPr="009C26A4" w:rsidRDefault="00BD0B76" w:rsidP="002F495A">
      <w:pPr>
        <w:numPr>
          <w:ilvl w:val="0"/>
          <w:numId w:val="7"/>
        </w:numPr>
        <w:spacing w:after="240"/>
        <w:jc w:val="both"/>
      </w:pPr>
      <w:r w:rsidRPr="009C26A4">
        <w:t xml:space="preserve">The tenderer to whom the contract is to be awarded shall be exempt from the requirement to submit the documentary evidence referred to in paragraph 2 </w:t>
      </w:r>
      <w:r w:rsidR="007877E2" w:rsidRPr="009C26A4">
        <w:t>in case of international organisations</w:t>
      </w:r>
      <w:r w:rsidR="00A33FB0" w:rsidRPr="009C26A4">
        <w:t xml:space="preserve"> acting as tenderer</w:t>
      </w:r>
      <w:r w:rsidR="007877E2" w:rsidRPr="009C26A4">
        <w:t xml:space="preserve">, </w:t>
      </w:r>
      <w:r w:rsidRPr="009C26A4">
        <w:t>if</w:t>
      </w:r>
      <w:r w:rsidR="007877E2" w:rsidRPr="009C26A4">
        <w:t xml:space="preserve"> the contracting authority can access </w:t>
      </w:r>
      <w:r w:rsidR="00A33FB0" w:rsidRPr="009C26A4">
        <w:t>documentary evidence</w:t>
      </w:r>
      <w:r w:rsidR="007877E2" w:rsidRPr="009C26A4">
        <w:t xml:space="preserve"> on a national database free of charge or if</w:t>
      </w:r>
      <w:r w:rsidRPr="009C26A4">
        <w:t xml:space="preserve"> </w:t>
      </w:r>
      <w:r w:rsidR="007877E2" w:rsidRPr="009C26A4">
        <w:t>such</w:t>
      </w:r>
      <w:r w:rsidRPr="009C26A4">
        <w:t xml:space="preserve"> evidence has already been submitted </w:t>
      </w:r>
      <w:r w:rsidR="007877E2" w:rsidRPr="009C26A4">
        <w:t xml:space="preserve">to it </w:t>
      </w:r>
      <w:r w:rsidRPr="009C26A4">
        <w:t xml:space="preserve">for the purposes of another procurement procedure and provided that the </w:t>
      </w:r>
      <w:r w:rsidR="007877E2" w:rsidRPr="009C26A4">
        <w:t xml:space="preserve">issuing date of the </w:t>
      </w:r>
      <w:r w:rsidRPr="009C26A4">
        <w:t xml:space="preserve">documents </w:t>
      </w:r>
      <w:r w:rsidR="007877E2" w:rsidRPr="009C26A4">
        <w:t>does not exceed</w:t>
      </w:r>
      <w:r w:rsidRPr="009C26A4">
        <w:t xml:space="preserve"> one year and </w:t>
      </w:r>
      <w:r w:rsidR="007877E2" w:rsidRPr="009C26A4">
        <w:t xml:space="preserve">they </w:t>
      </w:r>
      <w:r w:rsidRPr="009C26A4">
        <w:t xml:space="preserve">are still valid. In such cases, the tenderer shall attest on his honour that the supporting documents have already been provided in a previous procurement procedure, which he shall identify, and that no changes in </w:t>
      </w:r>
      <w:r w:rsidR="007877E2" w:rsidRPr="009C26A4">
        <w:t>its</w:t>
      </w:r>
      <w:r w:rsidRPr="009C26A4">
        <w:t xml:space="preserve"> situation have occurred. </w:t>
      </w:r>
    </w:p>
    <w:p w14:paraId="2702104F" w14:textId="6B6DA40A" w:rsidR="00BD0B76" w:rsidRPr="009C26A4" w:rsidRDefault="00043B7F" w:rsidP="008E5C29">
      <w:pPr>
        <w:spacing w:after="240"/>
        <w:ind w:left="360"/>
        <w:jc w:val="both"/>
      </w:pPr>
      <w:r w:rsidRPr="009C26A4">
        <w:lastRenderedPageBreak/>
        <w:t xml:space="preserve"> </w:t>
      </w:r>
    </w:p>
    <w:p w14:paraId="15385EF9" w14:textId="2B622DB5" w:rsidR="00BD0B76" w:rsidRDefault="00BD0B76" w:rsidP="002F495A">
      <w:pPr>
        <w:numPr>
          <w:ilvl w:val="0"/>
          <w:numId w:val="6"/>
        </w:numPr>
        <w:tabs>
          <w:tab w:val="clear" w:pos="360"/>
          <w:tab w:val="left" w:pos="567"/>
        </w:tabs>
        <w:spacing w:before="240" w:after="240"/>
        <w:ind w:left="567" w:hanging="567"/>
        <w:jc w:val="both"/>
        <w:rPr>
          <w:b/>
          <w:caps/>
        </w:rPr>
      </w:pPr>
      <w:r w:rsidRPr="009C26A4">
        <w:rPr>
          <w:b/>
          <w:caps/>
        </w:rPr>
        <w:t>SELECTION CRITERIA</w:t>
      </w:r>
    </w:p>
    <w:p w14:paraId="7080451A" w14:textId="7BA901CD" w:rsidR="003F0D94" w:rsidRPr="003F0D94" w:rsidRDefault="003F0D94" w:rsidP="003F0D94">
      <w:pPr>
        <w:spacing w:after="240"/>
        <w:jc w:val="both"/>
      </w:pPr>
      <w:r w:rsidRPr="003F0D94">
        <w:t>Contractors have to inform at any moment</w:t>
      </w:r>
      <w:r>
        <w:t xml:space="preserve"> through the duration of the contract</w:t>
      </w:r>
      <w:r w:rsidRPr="003F0D94">
        <w:t xml:space="preserve"> about funding of similar projects via other European sources.</w:t>
      </w:r>
    </w:p>
    <w:p w14:paraId="2EA039BE" w14:textId="77777777" w:rsidR="001C091B" w:rsidRPr="009C26A4" w:rsidRDefault="00BD0B76">
      <w:pPr>
        <w:spacing w:after="240"/>
        <w:jc w:val="both"/>
        <w:rPr>
          <w:b/>
        </w:rPr>
      </w:pPr>
      <w:r w:rsidRPr="009C26A4">
        <w:rPr>
          <w:b/>
          <w:caps/>
        </w:rPr>
        <w:t>1</w:t>
      </w:r>
      <w:r w:rsidR="00F80C91" w:rsidRPr="009C26A4">
        <w:rPr>
          <w:b/>
          <w:caps/>
        </w:rPr>
        <w:t>5</w:t>
      </w:r>
      <w:r w:rsidRPr="009C26A4">
        <w:rPr>
          <w:b/>
          <w:caps/>
        </w:rPr>
        <w:t>.1.</w:t>
      </w:r>
      <w:r w:rsidRPr="009C26A4">
        <w:rPr>
          <w:b/>
          <w:caps/>
        </w:rPr>
        <w:tab/>
      </w:r>
      <w:r w:rsidR="00F5725C" w:rsidRPr="009C26A4">
        <w:rPr>
          <w:b/>
        </w:rPr>
        <w:t>L</w:t>
      </w:r>
      <w:r w:rsidR="00084B58" w:rsidRPr="009C26A4">
        <w:rPr>
          <w:b/>
        </w:rPr>
        <w:t xml:space="preserve">egal and </w:t>
      </w:r>
      <w:r w:rsidR="001C091B" w:rsidRPr="009C26A4">
        <w:rPr>
          <w:b/>
        </w:rPr>
        <w:t>r</w:t>
      </w:r>
      <w:r w:rsidR="00F5725C" w:rsidRPr="009C26A4">
        <w:rPr>
          <w:b/>
        </w:rPr>
        <w:t>eg</w:t>
      </w:r>
      <w:r w:rsidR="00084B58" w:rsidRPr="009C26A4">
        <w:rPr>
          <w:b/>
        </w:rPr>
        <w:t xml:space="preserve">ulatory </w:t>
      </w:r>
      <w:r w:rsidR="00F5725C" w:rsidRPr="009C26A4">
        <w:rPr>
          <w:b/>
        </w:rPr>
        <w:t>capacity</w:t>
      </w:r>
    </w:p>
    <w:p w14:paraId="08E53376" w14:textId="00E61300" w:rsidR="001C091B" w:rsidRPr="009C26A4" w:rsidRDefault="001C091B" w:rsidP="008E5C29">
      <w:pPr>
        <w:spacing w:after="240"/>
        <w:jc w:val="both"/>
      </w:pPr>
      <w:r w:rsidRPr="009C26A4">
        <w:t xml:space="preserve">The tenderer is required to </w:t>
      </w:r>
      <w:r w:rsidR="002D4A42" w:rsidRPr="009C26A4">
        <w:t>b</w:t>
      </w:r>
      <w:r w:rsidRPr="009C26A4">
        <w:t>e enrolled in a relevant professional or trade register, except for international organisations</w:t>
      </w:r>
      <w:r w:rsidR="00ED56B0" w:rsidRPr="009C26A4">
        <w:t>.</w:t>
      </w:r>
    </w:p>
    <w:p w14:paraId="35E736AE" w14:textId="55091970" w:rsidR="001C091B" w:rsidRPr="009C26A4" w:rsidRDefault="00084B58">
      <w:pPr>
        <w:spacing w:after="240"/>
        <w:jc w:val="both"/>
        <w:rPr>
          <w:caps/>
        </w:rPr>
      </w:pPr>
      <w:r w:rsidRPr="009C26A4">
        <w:t>In the case of groups of economic operators, each member will furnish proof of authorisation to perform the contract.</w:t>
      </w:r>
    </w:p>
    <w:p w14:paraId="02297088" w14:textId="77777777" w:rsidR="00BD0B76" w:rsidRPr="009C26A4" w:rsidRDefault="001C091B">
      <w:pPr>
        <w:spacing w:after="240"/>
        <w:jc w:val="both"/>
        <w:rPr>
          <w:b/>
        </w:rPr>
      </w:pPr>
      <w:r w:rsidRPr="009C26A4">
        <w:rPr>
          <w:b/>
        </w:rPr>
        <w:t>1</w:t>
      </w:r>
      <w:r w:rsidR="00F80C91" w:rsidRPr="009C26A4">
        <w:rPr>
          <w:b/>
        </w:rPr>
        <w:t>5</w:t>
      </w:r>
      <w:r w:rsidRPr="009C26A4">
        <w:rPr>
          <w:b/>
        </w:rPr>
        <w:t xml:space="preserve">.2. </w:t>
      </w:r>
      <w:r w:rsidR="00F5725C" w:rsidRPr="009C26A4">
        <w:rPr>
          <w:b/>
        </w:rPr>
        <w:tab/>
      </w:r>
      <w:r w:rsidR="00BD0B76" w:rsidRPr="009C26A4">
        <w:rPr>
          <w:b/>
        </w:rPr>
        <w:t>Financial and economic capacity</w:t>
      </w:r>
    </w:p>
    <w:p w14:paraId="366FE5CA" w14:textId="77777777" w:rsidR="00BD0B76" w:rsidRPr="009C26A4" w:rsidRDefault="00BD0B76">
      <w:pPr>
        <w:tabs>
          <w:tab w:val="left" w:pos="1"/>
          <w:tab w:val="left" w:pos="56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9C26A4">
        <w:t>Tenderers shall have sufficient economic and financial resources to enable them to perform the contract in compliance with the contractual provisions, given the value and scope thereof. If, on the basis of the information supplied by the tenderer, the European Parliament has doubts about a tenderer's financial resources, or if these are insufficient for performance of the contract, the tender may be rejected without the tenderer being entitled to claim any financial compensation.</w:t>
      </w:r>
    </w:p>
    <w:p w14:paraId="7DCF4A11" w14:textId="0DBFC6FA" w:rsidR="00BD0B76" w:rsidRPr="00B943EF" w:rsidRDefault="00BD0B76">
      <w:pPr>
        <w:tabs>
          <w:tab w:val="left" w:pos="1"/>
          <w:tab w:val="left" w:pos="56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9C26A4">
        <w:t xml:space="preserve">In respect of the contract which is the subject of this invitation to tender, the European Parliament furthermore requires tenderers to have a minimum financial and economic capacity, </w:t>
      </w:r>
      <w:r w:rsidRPr="00B943EF">
        <w:t>which will be assessed on the basis of the following information:</w:t>
      </w:r>
    </w:p>
    <w:p w14:paraId="14595AFA" w14:textId="5586333B" w:rsidR="00BD0B76" w:rsidRPr="00B943EF" w:rsidRDefault="00BD0B76" w:rsidP="002F495A">
      <w:pPr>
        <w:numPr>
          <w:ilvl w:val="0"/>
          <w:numId w:val="4"/>
        </w:numPr>
        <w:spacing w:after="120"/>
        <w:jc w:val="both"/>
      </w:pPr>
      <w:r w:rsidRPr="00B943EF">
        <w:t xml:space="preserve">minimum turnover of EUR </w:t>
      </w:r>
      <w:r w:rsidR="003C722B">
        <w:rPr>
          <w:i/>
        </w:rPr>
        <w:t>67.500;</w:t>
      </w:r>
    </w:p>
    <w:p w14:paraId="6FBC3F73" w14:textId="7326AB16" w:rsidR="00B943EF" w:rsidRPr="00B943EF" w:rsidRDefault="00B943EF" w:rsidP="00B943EF">
      <w:pPr>
        <w:numPr>
          <w:ilvl w:val="0"/>
          <w:numId w:val="4"/>
        </w:numPr>
        <w:spacing w:after="120"/>
        <w:ind w:left="420" w:hanging="420"/>
        <w:jc w:val="both"/>
      </w:pPr>
      <w:r w:rsidRPr="00B943EF">
        <w:t>minimum level of professional risk indemnity insurance.</w:t>
      </w:r>
    </w:p>
    <w:p w14:paraId="18A68E52" w14:textId="27BA73C3" w:rsidR="00BD0B76" w:rsidRPr="00B943EF" w:rsidRDefault="00BD0B76">
      <w:pPr>
        <w:spacing w:after="240"/>
      </w:pPr>
      <w:r w:rsidRPr="00B943EF">
        <w:t>Financial and economic capacity will be assessed on the basis of the information included in the following documents, to be supplied by tenderers:</w:t>
      </w:r>
    </w:p>
    <w:p w14:paraId="70A437B6" w14:textId="6790C14A" w:rsidR="00BD0B76" w:rsidRPr="00B943EF" w:rsidRDefault="00BD0B76" w:rsidP="002F495A">
      <w:pPr>
        <w:numPr>
          <w:ilvl w:val="0"/>
          <w:numId w:val="4"/>
        </w:numPr>
        <w:spacing w:after="120"/>
        <w:ind w:left="420" w:hanging="420"/>
        <w:jc w:val="both"/>
      </w:pPr>
      <w:r w:rsidRPr="00B943EF">
        <w:t>income declaration for at least the two most recent financial years; for tenderers who are natural persons, gross income will be deemed to represent turnover;</w:t>
      </w:r>
    </w:p>
    <w:p w14:paraId="66FA3747" w14:textId="37542985" w:rsidR="00BD0B76" w:rsidRPr="00B943EF" w:rsidRDefault="00BD0B76" w:rsidP="002F495A">
      <w:pPr>
        <w:numPr>
          <w:ilvl w:val="0"/>
          <w:numId w:val="4"/>
        </w:numPr>
        <w:spacing w:after="120"/>
        <w:ind w:left="420" w:hanging="420"/>
        <w:jc w:val="both"/>
      </w:pPr>
      <w:r w:rsidRPr="00B943EF">
        <w:t>financial statements (balance sheets, profit and loss accounts and any other related financial information)</w:t>
      </w:r>
      <w:r w:rsidR="00C335B7" w:rsidRPr="00B943EF">
        <w:t xml:space="preserve"> or their extracts</w:t>
      </w:r>
      <w:r w:rsidRPr="00B943EF">
        <w:t xml:space="preserve"> for </w:t>
      </w:r>
      <w:r w:rsidR="007919A8" w:rsidRPr="00B943EF">
        <w:t>a period equal or less than</w:t>
      </w:r>
      <w:r w:rsidRPr="00B943EF">
        <w:t xml:space="preserve"> the last t</w:t>
      </w:r>
      <w:r w:rsidR="00B70931" w:rsidRPr="00B943EF">
        <w:t>wo</w:t>
      </w:r>
      <w:r w:rsidRPr="00B943EF">
        <w:t xml:space="preserve"> years for which accounts have been closed; </w:t>
      </w:r>
    </w:p>
    <w:p w14:paraId="282789DE" w14:textId="77ED5F72" w:rsidR="00C335B7" w:rsidRPr="00B943EF" w:rsidRDefault="00BD0B76" w:rsidP="002F495A">
      <w:pPr>
        <w:numPr>
          <w:ilvl w:val="0"/>
          <w:numId w:val="4"/>
        </w:numPr>
        <w:spacing w:after="120"/>
        <w:ind w:left="420" w:hanging="420"/>
        <w:jc w:val="both"/>
      </w:pPr>
      <w:r w:rsidRPr="00B943EF">
        <w:t>a statement of overall turnover during a period which may be no more than the last t</w:t>
      </w:r>
      <w:r w:rsidR="00B70931" w:rsidRPr="00B943EF">
        <w:t>wo</w:t>
      </w:r>
      <w:r w:rsidRPr="00B943EF">
        <w:t xml:space="preserve"> financial years</w:t>
      </w:r>
      <w:r w:rsidR="007919A8" w:rsidRPr="00B943EF">
        <w:t xml:space="preserve"> available</w:t>
      </w:r>
      <w:r w:rsidR="00D22BB2" w:rsidRPr="00B943EF">
        <w:t>.</w:t>
      </w:r>
    </w:p>
    <w:p w14:paraId="0FE0D2C8" w14:textId="6293E84A" w:rsidR="00BD0B76" w:rsidRPr="00B943EF" w:rsidRDefault="00B943EF" w:rsidP="00B943EF">
      <w:pPr>
        <w:numPr>
          <w:ilvl w:val="0"/>
          <w:numId w:val="4"/>
        </w:numPr>
        <w:spacing w:after="120"/>
        <w:ind w:left="420" w:hanging="420"/>
        <w:jc w:val="both"/>
      </w:pPr>
      <w:r w:rsidRPr="00B943EF">
        <w:t>appropriate statements from banks or, where appropriate, evidence of professional risk indemnity insurance</w:t>
      </w:r>
      <w:r>
        <w:t xml:space="preserve"> (to be supplied only by the winner of the contract, after having received the </w:t>
      </w:r>
      <w:r w:rsidR="000C63AB">
        <w:t>letter informing about the result of the tender)</w:t>
      </w:r>
    </w:p>
    <w:p w14:paraId="3F0300EC" w14:textId="77777777" w:rsidR="00BD0B76" w:rsidRPr="009C26A4" w:rsidRDefault="00BD0B76">
      <w:pPr>
        <w:spacing w:after="240"/>
        <w:jc w:val="both"/>
      </w:pPr>
      <w:r w:rsidRPr="00B943EF">
        <w:t xml:space="preserve">If the tenderer is unable to provide the references requested, he may prove his economic and financial capacity by any other </w:t>
      </w:r>
      <w:r w:rsidR="007919A8" w:rsidRPr="009C26A4">
        <w:t>document</w:t>
      </w:r>
      <w:r w:rsidRPr="009C26A4">
        <w:t xml:space="preserve"> which the European Parliament considers appropriate. </w:t>
      </w:r>
    </w:p>
    <w:p w14:paraId="71473566" w14:textId="77777777" w:rsidR="00BD0B76" w:rsidRPr="009C26A4" w:rsidRDefault="00BD0B76">
      <w:pPr>
        <w:spacing w:after="240"/>
        <w:jc w:val="both"/>
      </w:pPr>
      <w:r w:rsidRPr="009C26A4">
        <w:t xml:space="preserve">The tenderer may also rely on the capacity of other entities, irrespective of the legal nature of the links between him and those entities. In that case, he must prove to the European Parliament that he will have the resources needed to perform the contract, for instance by providing an assurance of the undertaking by those entities to make them available to him. In that case the European Parliament is entitled to refuse the application or the tender submitted if it has doubts </w:t>
      </w:r>
      <w:r w:rsidRPr="009C26A4">
        <w:lastRenderedPageBreak/>
        <w:t>about the undertaking by the third party or about that party’s financial capacity. Parliament may require the tenderer and those other entities to be jointly liable for performance of the contract.</w:t>
      </w:r>
    </w:p>
    <w:p w14:paraId="53D877D3" w14:textId="77777777" w:rsidR="00BD0B76" w:rsidRPr="009C26A4" w:rsidRDefault="00BD0B76">
      <w:pPr>
        <w:spacing w:after="240"/>
        <w:jc w:val="both"/>
      </w:pPr>
      <w:r w:rsidRPr="009C26A4">
        <w:t xml:space="preserve">On the same basis, a consortium of economic operators may rely on the capacity of members of the </w:t>
      </w:r>
      <w:r w:rsidR="008C3BAC" w:rsidRPr="009C26A4">
        <w:t xml:space="preserve">group </w:t>
      </w:r>
      <w:r w:rsidRPr="009C26A4">
        <w:t>or of other entities.</w:t>
      </w:r>
    </w:p>
    <w:p w14:paraId="3279B78A" w14:textId="77777777" w:rsidR="00BD0B76" w:rsidRPr="009C26A4" w:rsidRDefault="00BD0B76">
      <w:pPr>
        <w:spacing w:after="240"/>
        <w:jc w:val="both"/>
      </w:pPr>
      <w:r w:rsidRPr="009C26A4">
        <w:t>Tenderers may also rely on the economic capacities of one or more subcontractors in so far as they undertake to take part in the process of performing the contract. In such instances, the European Parliament will assess the capacities of the subcontractor(s) in the light of the extent to which the latter is/are involved in performing the contract.</w:t>
      </w:r>
    </w:p>
    <w:p w14:paraId="0282F377" w14:textId="77777777" w:rsidR="00BD0B76" w:rsidRPr="009C26A4" w:rsidRDefault="00BD0B76">
      <w:pPr>
        <w:spacing w:after="240"/>
        <w:jc w:val="both"/>
        <w:rPr>
          <w:b/>
        </w:rPr>
      </w:pPr>
      <w:r w:rsidRPr="009C26A4">
        <w:rPr>
          <w:b/>
        </w:rPr>
        <w:t>1</w:t>
      </w:r>
      <w:r w:rsidR="00F80C91" w:rsidRPr="009C26A4">
        <w:rPr>
          <w:b/>
        </w:rPr>
        <w:t>5</w:t>
      </w:r>
      <w:r w:rsidRPr="009C26A4">
        <w:rPr>
          <w:b/>
        </w:rPr>
        <w:t>.</w:t>
      </w:r>
      <w:r w:rsidR="001C091B" w:rsidRPr="009C26A4">
        <w:rPr>
          <w:b/>
        </w:rPr>
        <w:t>3</w:t>
      </w:r>
      <w:r w:rsidRPr="009C26A4">
        <w:rPr>
          <w:b/>
        </w:rPr>
        <w:t>. Technical and professional capacity</w:t>
      </w:r>
    </w:p>
    <w:p w14:paraId="71BB1803" w14:textId="77777777" w:rsidR="00BD0B76" w:rsidRPr="009C26A4" w:rsidRDefault="00BD0B76">
      <w:pPr>
        <w:spacing w:after="240"/>
        <w:jc w:val="both"/>
      </w:pPr>
      <w:r w:rsidRPr="009C26A4">
        <w:t>Tenderers must have sufficient technical and professional capacity to enable them to perform the contract in compliance with the contractual provisions, taking into account its value and scale. If, in the light of the information supplied by the tenderer, the European Parliament has doubts about a tenderer's technical and professional capacity, or if it is clearly insufficient for performance of the contract, the tender may be rejected without the tenderer being able to claim any financial compensation.</w:t>
      </w:r>
    </w:p>
    <w:p w14:paraId="31950F92" w14:textId="067A4427" w:rsidR="00BD0B76" w:rsidRPr="009C26A4" w:rsidRDefault="00BD0B76">
      <w:pPr>
        <w:spacing w:after="240"/>
        <w:jc w:val="both"/>
      </w:pPr>
      <w:r w:rsidRPr="009C26A4">
        <w:t>In respect of the contract which is the subject of this invitation to tender the European Parliament requires tenderers to have the following technical and professional capacity:</w:t>
      </w:r>
    </w:p>
    <w:p w14:paraId="4880B847" w14:textId="77777777" w:rsidR="00AB0B27" w:rsidRPr="009C26A4" w:rsidRDefault="00AB0B27" w:rsidP="00AB0B27">
      <w:pPr>
        <w:numPr>
          <w:ilvl w:val="0"/>
          <w:numId w:val="22"/>
        </w:numPr>
        <w:autoSpaceDE w:val="0"/>
        <w:autoSpaceDN w:val="0"/>
        <w:adjustRightInd w:val="0"/>
        <w:jc w:val="both"/>
        <w:rPr>
          <w:rFonts w:eastAsia="Calibri"/>
          <w:lang w:eastAsia="en-US"/>
        </w:rPr>
      </w:pPr>
      <w:r w:rsidRPr="009C26A4">
        <w:rPr>
          <w:rFonts w:eastAsia="Calibri"/>
          <w:lang w:eastAsia="en-US"/>
        </w:rPr>
        <w:t>at least two years’ experience in training/coaching services similar to those required by the contract concerned;</w:t>
      </w:r>
    </w:p>
    <w:p w14:paraId="0D2A4D8B" w14:textId="77777777" w:rsidR="00AB0B27" w:rsidRPr="009C26A4" w:rsidRDefault="00AB0B27" w:rsidP="00AB0B27">
      <w:pPr>
        <w:autoSpaceDE w:val="0"/>
        <w:autoSpaceDN w:val="0"/>
        <w:adjustRightInd w:val="0"/>
        <w:ind w:left="720"/>
        <w:jc w:val="both"/>
        <w:rPr>
          <w:rFonts w:eastAsia="Calibri"/>
          <w:lang w:eastAsia="en-US"/>
        </w:rPr>
      </w:pPr>
    </w:p>
    <w:p w14:paraId="2AED877E" w14:textId="44890C73" w:rsidR="00AB0B27" w:rsidRPr="009C26A4" w:rsidRDefault="00AB0B27" w:rsidP="00AB0B27">
      <w:pPr>
        <w:numPr>
          <w:ilvl w:val="0"/>
          <w:numId w:val="22"/>
        </w:numPr>
        <w:autoSpaceDE w:val="0"/>
        <w:autoSpaceDN w:val="0"/>
        <w:adjustRightInd w:val="0"/>
        <w:jc w:val="both"/>
        <w:rPr>
          <w:rFonts w:eastAsia="Calibri"/>
          <w:lang w:eastAsia="en-US"/>
        </w:rPr>
      </w:pPr>
      <w:r w:rsidRPr="009C26A4">
        <w:rPr>
          <w:rFonts w:eastAsia="Calibri"/>
          <w:lang w:eastAsia="en-US"/>
        </w:rPr>
        <w:t>demonstrable experience of the project leader in</w:t>
      </w:r>
      <w:r w:rsidR="00850233" w:rsidRPr="009C26A4">
        <w:rPr>
          <w:rFonts w:eastAsia="Calibri"/>
          <w:lang w:eastAsia="en-US"/>
        </w:rPr>
        <w:t xml:space="preserve"> teaching at secondary schools or</w:t>
      </w:r>
      <w:r w:rsidRPr="009C26A4">
        <w:rPr>
          <w:rFonts w:eastAsia="Calibri"/>
          <w:lang w:eastAsia="en-US"/>
        </w:rPr>
        <w:t xml:space="preserve"> in the</w:t>
      </w:r>
      <w:r w:rsidR="00850233" w:rsidRPr="009C26A4">
        <w:rPr>
          <w:rFonts w:eastAsia="Calibri"/>
          <w:lang w:eastAsia="en-US"/>
        </w:rPr>
        <w:t xml:space="preserve"> vocational sector</w:t>
      </w:r>
      <w:r w:rsidRPr="009C26A4">
        <w:rPr>
          <w:rFonts w:eastAsia="Calibri"/>
          <w:lang w:eastAsia="en-US"/>
        </w:rPr>
        <w:t>. This teaching expe</w:t>
      </w:r>
      <w:r w:rsidR="00850233" w:rsidRPr="009C26A4">
        <w:rPr>
          <w:rFonts w:eastAsia="Calibri"/>
          <w:lang w:eastAsia="en-US"/>
        </w:rPr>
        <w:t>rience should cover at least 4 years</w:t>
      </w:r>
      <w:r w:rsidRPr="009C26A4">
        <w:rPr>
          <w:rFonts w:eastAsia="Calibri"/>
          <w:lang w:eastAsia="en-US"/>
        </w:rPr>
        <w:t>;</w:t>
      </w:r>
    </w:p>
    <w:p w14:paraId="7573B6E0" w14:textId="77777777" w:rsidR="00AB0B27" w:rsidRPr="009C26A4" w:rsidRDefault="00AB0B27" w:rsidP="00AB0B27">
      <w:pPr>
        <w:autoSpaceDE w:val="0"/>
        <w:autoSpaceDN w:val="0"/>
        <w:adjustRightInd w:val="0"/>
        <w:jc w:val="both"/>
        <w:rPr>
          <w:rFonts w:eastAsia="Calibri"/>
          <w:lang w:eastAsia="en-US"/>
        </w:rPr>
      </w:pPr>
    </w:p>
    <w:p w14:paraId="733BA1DD" w14:textId="7C41D549" w:rsidR="00AB0B27" w:rsidRPr="009C26A4" w:rsidRDefault="00BB5014" w:rsidP="00BB5014">
      <w:pPr>
        <w:numPr>
          <w:ilvl w:val="0"/>
          <w:numId w:val="22"/>
        </w:numPr>
        <w:autoSpaceDE w:val="0"/>
        <w:autoSpaceDN w:val="0"/>
        <w:adjustRightInd w:val="0"/>
        <w:jc w:val="both"/>
        <w:rPr>
          <w:rFonts w:eastAsia="Calibri"/>
          <w:lang w:eastAsia="en-US"/>
        </w:rPr>
      </w:pPr>
      <w:r w:rsidRPr="00BB5014">
        <w:rPr>
          <w:rFonts w:eastAsia="Calibri"/>
          <w:lang w:eastAsia="en-US"/>
        </w:rPr>
        <w:t>a fluent command of Flemish, French and German languages and good spoken and written B2 level in English</w:t>
      </w:r>
      <w:r w:rsidR="00AB0B27" w:rsidRPr="009C26A4">
        <w:rPr>
          <w:rFonts w:eastAsia="Calibri"/>
          <w:lang w:eastAsia="en-US"/>
        </w:rPr>
        <w:t xml:space="preserve">. </w:t>
      </w:r>
      <w:bookmarkStart w:id="0" w:name="_GoBack"/>
      <w:bookmarkEnd w:id="0"/>
    </w:p>
    <w:p w14:paraId="3E61B4B7" w14:textId="77777777" w:rsidR="00FB008B" w:rsidRPr="009C26A4" w:rsidRDefault="00FB008B" w:rsidP="00FB008B">
      <w:pPr>
        <w:autoSpaceDE w:val="0"/>
        <w:autoSpaceDN w:val="0"/>
        <w:adjustRightInd w:val="0"/>
        <w:ind w:left="720"/>
        <w:jc w:val="both"/>
        <w:rPr>
          <w:rFonts w:eastAsia="Calibri"/>
          <w:lang w:eastAsia="en-US"/>
        </w:rPr>
      </w:pPr>
    </w:p>
    <w:p w14:paraId="2B0E416D" w14:textId="27CE4165" w:rsidR="00BD0B76" w:rsidRPr="009C26A4" w:rsidRDefault="00BD0B76">
      <w:pPr>
        <w:spacing w:after="240"/>
        <w:jc w:val="both"/>
      </w:pPr>
      <w:r w:rsidRPr="009C26A4">
        <w:t>Depending on the nature, quantity or scale and purpose of the supplies, services or works to be provided, the technical and professional capacity of economic operators will be substantiated by one or more of the following documents:</w:t>
      </w:r>
    </w:p>
    <w:p w14:paraId="39FE4ADA" w14:textId="77777777" w:rsidR="00BA3A3C" w:rsidRPr="009C26A4" w:rsidRDefault="00BA3A3C" w:rsidP="00BA3A3C">
      <w:pPr>
        <w:numPr>
          <w:ilvl w:val="0"/>
          <w:numId w:val="19"/>
        </w:numPr>
        <w:spacing w:after="240"/>
        <w:jc w:val="both"/>
        <w:rPr>
          <w:rFonts w:eastAsia="Calibri"/>
          <w:lang w:eastAsia="en-US"/>
        </w:rPr>
      </w:pPr>
      <w:r w:rsidRPr="009C26A4">
        <w:rPr>
          <w:rFonts w:eastAsia="Calibri"/>
          <w:lang w:eastAsia="en-US"/>
        </w:rPr>
        <w:t xml:space="preserve">a list of the principal services delivered in the past two years, with the dates and recipients. </w:t>
      </w:r>
    </w:p>
    <w:p w14:paraId="3477DA48" w14:textId="77777777" w:rsidR="00BA3A3C" w:rsidRPr="009C26A4" w:rsidRDefault="00BA3A3C" w:rsidP="00BA3A3C">
      <w:pPr>
        <w:numPr>
          <w:ilvl w:val="0"/>
          <w:numId w:val="19"/>
        </w:numPr>
        <w:spacing w:after="120"/>
        <w:jc w:val="both"/>
        <w:rPr>
          <w:rFonts w:eastAsia="Calibri"/>
          <w:lang w:eastAsia="en-US"/>
        </w:rPr>
      </w:pPr>
      <w:r w:rsidRPr="009C26A4">
        <w:rPr>
          <w:rFonts w:eastAsia="Calibri"/>
          <w:lang w:eastAsia="en-US"/>
        </w:rPr>
        <w:t xml:space="preserve">the CV of the project leader and the educational experts </w:t>
      </w:r>
    </w:p>
    <w:p w14:paraId="74FDDCBC" w14:textId="77777777" w:rsidR="00BA3A3C" w:rsidRPr="009C26A4" w:rsidRDefault="00BA3A3C" w:rsidP="00BA3A3C">
      <w:pPr>
        <w:ind w:left="720"/>
        <w:contextualSpacing/>
        <w:jc w:val="both"/>
        <w:rPr>
          <w:rFonts w:eastAsia="Calibri"/>
          <w:lang w:eastAsia="en-US"/>
        </w:rPr>
      </w:pPr>
    </w:p>
    <w:p w14:paraId="4A0A1DAB" w14:textId="77777777" w:rsidR="00BA3A3C" w:rsidRPr="005D7987" w:rsidRDefault="00BA3A3C" w:rsidP="00BA3A3C">
      <w:pPr>
        <w:tabs>
          <w:tab w:val="left" w:pos="426"/>
        </w:tabs>
        <w:spacing w:after="120"/>
        <w:ind w:left="360"/>
        <w:jc w:val="both"/>
        <w:rPr>
          <w:rFonts w:eastAsia="Calibri"/>
          <w:lang w:eastAsia="en-US"/>
        </w:rPr>
      </w:pPr>
      <w:r w:rsidRPr="009C26A4">
        <w:rPr>
          <w:rFonts w:eastAsia="Calibri"/>
          <w:lang w:eastAsia="en-US"/>
        </w:rPr>
        <w:t xml:space="preserve">c)  any document proving the knowledge of the above-mentioned languages (certificates,   diplomas, etc…) </w:t>
      </w:r>
    </w:p>
    <w:p w14:paraId="008C3967" w14:textId="77777777" w:rsidR="00BD0B76" w:rsidRPr="005D7987" w:rsidRDefault="00BD0B76">
      <w:pPr>
        <w:spacing w:after="240"/>
        <w:jc w:val="both"/>
      </w:pPr>
      <w:r w:rsidRPr="005D7987">
        <w:t>The tenderer or candidate may also rely on the capacity of other entities, irrespective of the legal nature of the links between himself and those entities. In that case, he must prove to the European Parliament that he will have the resources needed to perform the contract, for instance by providing a</w:t>
      </w:r>
      <w:r w:rsidR="000260CE" w:rsidRPr="005D7987">
        <w:t xml:space="preserve"> </w:t>
      </w:r>
      <w:r w:rsidR="00264E14" w:rsidRPr="005D7987">
        <w:t>commitment</w:t>
      </w:r>
      <w:r w:rsidRPr="005D7987">
        <w:t xml:space="preserve"> by those entities to </w:t>
      </w:r>
      <w:r w:rsidR="00264E14" w:rsidRPr="005D7987">
        <w:t>that effect</w:t>
      </w:r>
      <w:r w:rsidRPr="005D7987">
        <w:t>. In that case the European Parliament is entitled to refuse the application or the tender submitted if it has doubts about the undertaking by the third party or about that party’s professional and/or technical capacity.</w:t>
      </w:r>
    </w:p>
    <w:p w14:paraId="1E82CBF2" w14:textId="77777777" w:rsidR="00BD0B76" w:rsidRPr="005D7987" w:rsidRDefault="00BD0B76">
      <w:pPr>
        <w:spacing w:after="240"/>
        <w:jc w:val="both"/>
      </w:pPr>
      <w:r w:rsidRPr="005D7987">
        <w:t xml:space="preserve">At all events, tenderers may always rely on the </w:t>
      </w:r>
      <w:r w:rsidR="005561B2" w:rsidRPr="005D7987">
        <w:t xml:space="preserve">technical and professional </w:t>
      </w:r>
      <w:r w:rsidRPr="005D7987">
        <w:t xml:space="preserve">capacities of one or more subcontractors in so far as they undertake to take part in the process of performing the contract. In such instances, the European Parliament will assess the capacities of the </w:t>
      </w:r>
      <w:r w:rsidRPr="005D7987">
        <w:lastRenderedPageBreak/>
        <w:t>subcontractor(s) in the light of the extent to which the latter is/are involved in performing the contract.</w:t>
      </w:r>
    </w:p>
    <w:p w14:paraId="1AD6C27F" w14:textId="77777777" w:rsidR="00BD0B76" w:rsidRPr="005D7987" w:rsidRDefault="00BD0B76">
      <w:pPr>
        <w:spacing w:after="240"/>
        <w:jc w:val="both"/>
      </w:pPr>
      <w:r w:rsidRPr="005D7987">
        <w:t xml:space="preserve">If it establishes that a tenderer faces a conflict of interest which could affect the performance of the contract, the European Parliament may conclude that the tenderer is not of the calibre required to perform the contract. </w:t>
      </w:r>
    </w:p>
    <w:p w14:paraId="256A0C40" w14:textId="77777777" w:rsidR="00BD0B76" w:rsidRPr="005D7987" w:rsidRDefault="00BD0B76" w:rsidP="002F495A">
      <w:pPr>
        <w:numPr>
          <w:ilvl w:val="0"/>
          <w:numId w:val="6"/>
        </w:numPr>
        <w:tabs>
          <w:tab w:val="clear" w:pos="360"/>
          <w:tab w:val="num" w:pos="567"/>
        </w:tabs>
        <w:spacing w:before="240" w:after="240"/>
        <w:ind w:left="567" w:hanging="567"/>
        <w:jc w:val="both"/>
        <w:rPr>
          <w:b/>
          <w:caps/>
        </w:rPr>
      </w:pPr>
      <w:r w:rsidRPr="005D7987">
        <w:rPr>
          <w:b/>
          <w:caps/>
        </w:rPr>
        <w:t>AWARD CRITERIA</w:t>
      </w:r>
    </w:p>
    <w:p w14:paraId="7064C751" w14:textId="5F8CE09F" w:rsidR="003601B4" w:rsidRPr="005D7987" w:rsidRDefault="00BD0B76">
      <w:pPr>
        <w:spacing w:after="240"/>
        <w:jc w:val="both"/>
      </w:pPr>
      <w:r w:rsidRPr="005D7987">
        <w:t xml:space="preserve">The contract will be awarded to the tender offering the </w:t>
      </w:r>
      <w:r w:rsidR="00737813" w:rsidRPr="005D7987">
        <w:t>best price-quality ratio</w:t>
      </w:r>
      <w:r w:rsidRPr="005D7987">
        <w:t>.</w:t>
      </w:r>
    </w:p>
    <w:p w14:paraId="79AC0B07" w14:textId="032153C4" w:rsidR="003E123E" w:rsidRPr="00362D17" w:rsidRDefault="006909BE" w:rsidP="003E123E">
      <w:pPr>
        <w:spacing w:after="240"/>
        <w:jc w:val="both"/>
        <w:rPr>
          <w:rFonts w:ascii="Arial" w:hAnsi="Arial" w:cs="Arial"/>
          <w:sz w:val="22"/>
          <w:szCs w:val="22"/>
        </w:rPr>
      </w:pPr>
      <w:r w:rsidRPr="005D7987">
        <w:t>To determine the tender offering the best price quality/ratio, t</w:t>
      </w:r>
      <w:r w:rsidR="00BD0B76" w:rsidRPr="005D7987">
        <w:t>enders will be evaluated on the basis of the following criteria:</w:t>
      </w:r>
      <w:r w:rsidR="003E123E" w:rsidRPr="003E123E">
        <w:rPr>
          <w:rFonts w:ascii="Arial" w:hAnsi="Arial" w:cs="Arial"/>
          <w:sz w:val="22"/>
          <w:szCs w:val="22"/>
        </w:rPr>
        <w:t xml:space="preserve"> </w:t>
      </w:r>
    </w:p>
    <w:p w14:paraId="58300813" w14:textId="77777777" w:rsidR="003E123E" w:rsidRPr="00362D17" w:rsidRDefault="003E123E" w:rsidP="003E123E">
      <w:pPr>
        <w:numPr>
          <w:ilvl w:val="1"/>
          <w:numId w:val="4"/>
        </w:numPr>
        <w:tabs>
          <w:tab w:val="clear" w:pos="660"/>
          <w:tab w:val="num" w:pos="1440"/>
        </w:tabs>
        <w:snapToGrid w:val="0"/>
        <w:spacing w:after="240"/>
        <w:ind w:left="1440"/>
        <w:jc w:val="both"/>
        <w:rPr>
          <w:rFonts w:ascii="Arial" w:hAnsi="Arial" w:cs="Arial"/>
          <w:sz w:val="22"/>
          <w:szCs w:val="22"/>
        </w:rPr>
      </w:pPr>
      <w:r w:rsidRPr="00362D17">
        <w:rPr>
          <w:rFonts w:ascii="Arial" w:hAnsi="Arial" w:cs="Arial"/>
          <w:sz w:val="22"/>
          <w:szCs w:val="22"/>
        </w:rPr>
        <w:t>price;</w:t>
      </w:r>
    </w:p>
    <w:p w14:paraId="45B2968C" w14:textId="77777777" w:rsidR="003E123E" w:rsidRPr="00362D17" w:rsidRDefault="003E123E" w:rsidP="003E123E">
      <w:pPr>
        <w:numPr>
          <w:ilvl w:val="1"/>
          <w:numId w:val="4"/>
        </w:numPr>
        <w:tabs>
          <w:tab w:val="clear" w:pos="660"/>
          <w:tab w:val="num" w:pos="1440"/>
        </w:tabs>
        <w:spacing w:after="240"/>
        <w:ind w:left="1440"/>
        <w:jc w:val="both"/>
        <w:rPr>
          <w:rFonts w:ascii="Arial" w:hAnsi="Arial" w:cs="Arial"/>
          <w:sz w:val="22"/>
          <w:szCs w:val="22"/>
        </w:rPr>
      </w:pPr>
      <w:r w:rsidRPr="00362D17">
        <w:rPr>
          <w:rFonts w:ascii="Arial" w:hAnsi="Arial" w:cs="Arial"/>
          <w:sz w:val="22"/>
          <w:szCs w:val="22"/>
        </w:rPr>
        <w:t>quality.</w:t>
      </w:r>
    </w:p>
    <w:p w14:paraId="6F4643EF" w14:textId="77777777" w:rsidR="003E123E" w:rsidRPr="00362D17" w:rsidRDefault="003E123E" w:rsidP="003E123E">
      <w:pPr>
        <w:spacing w:after="240"/>
        <w:jc w:val="both"/>
        <w:rPr>
          <w:rFonts w:ascii="Arial" w:hAnsi="Arial" w:cs="Arial"/>
          <w:sz w:val="22"/>
          <w:szCs w:val="22"/>
        </w:rPr>
      </w:pPr>
      <w:r w:rsidRPr="00362D17">
        <w:rPr>
          <w:rFonts w:ascii="Arial" w:hAnsi="Arial" w:cs="Arial"/>
          <w:sz w:val="22"/>
          <w:szCs w:val="22"/>
        </w:rPr>
        <w:t>The price taken into account for the evaluation is the total marked in the price list as “price for evaluation”.</w:t>
      </w:r>
    </w:p>
    <w:p w14:paraId="76FAD918" w14:textId="27C3FDFE" w:rsidR="003E123E" w:rsidRDefault="003E123E" w:rsidP="003E123E">
      <w:pPr>
        <w:spacing w:after="240"/>
        <w:jc w:val="both"/>
        <w:rPr>
          <w:rFonts w:ascii="Arial" w:hAnsi="Arial" w:cs="Arial"/>
          <w:sz w:val="22"/>
          <w:szCs w:val="22"/>
        </w:rPr>
      </w:pPr>
      <w:r w:rsidRPr="00362D17">
        <w:rPr>
          <w:rFonts w:ascii="Arial" w:hAnsi="Arial" w:cs="Arial"/>
          <w:sz w:val="22"/>
          <w:szCs w:val="22"/>
        </w:rPr>
        <w:t>The quality is assessed out of 100 points, based on the following criteria:</w:t>
      </w:r>
    </w:p>
    <w:tbl>
      <w:tblPr>
        <w:tblStyle w:val="TableGrid"/>
        <w:tblW w:w="0" w:type="auto"/>
        <w:tblLook w:val="04A0" w:firstRow="1" w:lastRow="0" w:firstColumn="1" w:lastColumn="0" w:noHBand="0" w:noVBand="1"/>
      </w:tblPr>
      <w:tblGrid>
        <w:gridCol w:w="2287"/>
        <w:gridCol w:w="3378"/>
        <w:gridCol w:w="2092"/>
        <w:gridCol w:w="1283"/>
      </w:tblGrid>
      <w:tr w:rsidR="003E123E" w:rsidRPr="008129C2" w14:paraId="3A322376" w14:textId="77777777" w:rsidTr="00B943EF">
        <w:tc>
          <w:tcPr>
            <w:tcW w:w="2287" w:type="dxa"/>
          </w:tcPr>
          <w:p w14:paraId="106765FB" w14:textId="77777777" w:rsidR="003E123E" w:rsidRPr="00E65A6E" w:rsidRDefault="003E123E" w:rsidP="00B943EF">
            <w:pPr>
              <w:spacing w:after="240"/>
              <w:jc w:val="both"/>
              <w:rPr>
                <w:rFonts w:ascii="Arial" w:hAnsi="Arial" w:cs="Arial"/>
                <w:b/>
                <w:sz w:val="22"/>
                <w:szCs w:val="22"/>
              </w:rPr>
            </w:pPr>
            <w:r w:rsidRPr="00E45925">
              <w:rPr>
                <w:rFonts w:ascii="Arial" w:hAnsi="Arial" w:cs="Arial"/>
                <w:b/>
                <w:sz w:val="22"/>
                <w:szCs w:val="22"/>
              </w:rPr>
              <w:t>Qualitative criteria</w:t>
            </w:r>
          </w:p>
        </w:tc>
        <w:tc>
          <w:tcPr>
            <w:tcW w:w="3378" w:type="dxa"/>
          </w:tcPr>
          <w:p w14:paraId="69C01630" w14:textId="77777777" w:rsidR="003E123E" w:rsidRPr="00E65A6E" w:rsidRDefault="003E123E" w:rsidP="00B943EF">
            <w:pPr>
              <w:spacing w:after="240"/>
              <w:jc w:val="both"/>
              <w:rPr>
                <w:rFonts w:ascii="Arial" w:hAnsi="Arial" w:cs="Arial"/>
                <w:b/>
                <w:sz w:val="22"/>
                <w:szCs w:val="22"/>
              </w:rPr>
            </w:pPr>
            <w:r w:rsidRPr="00E65A6E">
              <w:rPr>
                <w:rFonts w:ascii="Arial" w:hAnsi="Arial" w:cs="Arial"/>
                <w:b/>
                <w:sz w:val="22"/>
                <w:szCs w:val="22"/>
              </w:rPr>
              <w:t>Description</w:t>
            </w:r>
          </w:p>
        </w:tc>
        <w:tc>
          <w:tcPr>
            <w:tcW w:w="2092" w:type="dxa"/>
          </w:tcPr>
          <w:p w14:paraId="09201EA2" w14:textId="77777777" w:rsidR="003E123E" w:rsidRPr="00E65A6E" w:rsidRDefault="003E123E" w:rsidP="00B943EF">
            <w:pPr>
              <w:spacing w:after="240"/>
              <w:jc w:val="both"/>
              <w:rPr>
                <w:rFonts w:ascii="Arial" w:hAnsi="Arial" w:cs="Arial"/>
                <w:b/>
                <w:sz w:val="22"/>
                <w:szCs w:val="22"/>
              </w:rPr>
            </w:pPr>
            <w:r w:rsidRPr="00E65A6E">
              <w:rPr>
                <w:rFonts w:ascii="Arial" w:hAnsi="Arial" w:cs="Arial"/>
                <w:b/>
                <w:sz w:val="22"/>
                <w:szCs w:val="22"/>
              </w:rPr>
              <w:t>Maximum points</w:t>
            </w:r>
          </w:p>
        </w:tc>
        <w:tc>
          <w:tcPr>
            <w:tcW w:w="1283" w:type="dxa"/>
          </w:tcPr>
          <w:p w14:paraId="3043F59C" w14:textId="77777777" w:rsidR="003E123E" w:rsidRPr="00E65A6E" w:rsidRDefault="003E123E" w:rsidP="00B943EF">
            <w:pPr>
              <w:spacing w:after="240"/>
              <w:jc w:val="both"/>
              <w:rPr>
                <w:rFonts w:ascii="Arial" w:hAnsi="Arial" w:cs="Arial"/>
                <w:b/>
                <w:sz w:val="22"/>
                <w:szCs w:val="22"/>
              </w:rPr>
            </w:pPr>
            <w:r w:rsidRPr="00E65A6E">
              <w:rPr>
                <w:rFonts w:ascii="Arial" w:hAnsi="Arial" w:cs="Arial"/>
                <w:b/>
                <w:sz w:val="22"/>
                <w:szCs w:val="22"/>
              </w:rPr>
              <w:t>Threshold</w:t>
            </w:r>
          </w:p>
        </w:tc>
      </w:tr>
      <w:tr w:rsidR="003E123E" w14:paraId="0F615C51" w14:textId="77777777" w:rsidTr="00B943EF">
        <w:tc>
          <w:tcPr>
            <w:tcW w:w="2287" w:type="dxa"/>
          </w:tcPr>
          <w:p w14:paraId="30872BC7" w14:textId="77777777" w:rsidR="003E123E" w:rsidRPr="00E65A6E" w:rsidRDefault="003E123E" w:rsidP="00B943EF">
            <w:pPr>
              <w:spacing w:after="240"/>
              <w:jc w:val="both"/>
              <w:rPr>
                <w:rFonts w:ascii="Arial" w:hAnsi="Arial" w:cs="Arial"/>
                <w:b/>
                <w:sz w:val="22"/>
                <w:szCs w:val="22"/>
              </w:rPr>
            </w:pPr>
            <w:r w:rsidRPr="00E65A6E">
              <w:rPr>
                <w:rFonts w:ascii="Arial" w:hAnsi="Arial" w:cs="Arial"/>
                <w:b/>
                <w:sz w:val="22"/>
                <w:szCs w:val="22"/>
              </w:rPr>
              <w:t>1</w:t>
            </w:r>
          </w:p>
        </w:tc>
        <w:tc>
          <w:tcPr>
            <w:tcW w:w="3378" w:type="dxa"/>
          </w:tcPr>
          <w:p w14:paraId="4CA736D3"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Quality and consistency of the tender in relation to the services required. Tenderers must provide a general description of the approach, which they are proposing to meet the objectives. They will also identify the main difficulties associated with providing the services required</w:t>
            </w:r>
          </w:p>
        </w:tc>
        <w:tc>
          <w:tcPr>
            <w:tcW w:w="2092" w:type="dxa"/>
          </w:tcPr>
          <w:p w14:paraId="45EF2C12"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 xml:space="preserve">50 points </w:t>
            </w:r>
          </w:p>
        </w:tc>
        <w:tc>
          <w:tcPr>
            <w:tcW w:w="1283" w:type="dxa"/>
          </w:tcPr>
          <w:p w14:paraId="037A8C34" w14:textId="77777777" w:rsidR="003E123E" w:rsidRPr="00362D17" w:rsidRDefault="003E123E" w:rsidP="00B943EF">
            <w:pPr>
              <w:spacing w:after="240"/>
              <w:jc w:val="both"/>
              <w:rPr>
                <w:rFonts w:ascii="Arial" w:hAnsi="Arial" w:cs="Arial"/>
                <w:sz w:val="22"/>
                <w:szCs w:val="22"/>
              </w:rPr>
            </w:pPr>
            <w:r>
              <w:rPr>
                <w:rFonts w:ascii="Arial" w:hAnsi="Arial" w:cs="Arial"/>
                <w:sz w:val="22"/>
                <w:szCs w:val="22"/>
              </w:rPr>
              <w:t>30 points</w:t>
            </w:r>
          </w:p>
        </w:tc>
      </w:tr>
      <w:tr w:rsidR="003E123E" w14:paraId="3D2071AC" w14:textId="77777777" w:rsidTr="00B943EF">
        <w:tc>
          <w:tcPr>
            <w:tcW w:w="2287" w:type="dxa"/>
          </w:tcPr>
          <w:p w14:paraId="251F5676" w14:textId="77777777" w:rsidR="003E123E" w:rsidRPr="00E65A6E" w:rsidRDefault="003E123E" w:rsidP="00B943EF">
            <w:pPr>
              <w:spacing w:after="240"/>
              <w:jc w:val="both"/>
              <w:rPr>
                <w:rFonts w:ascii="Arial" w:hAnsi="Arial" w:cs="Arial"/>
                <w:b/>
                <w:sz w:val="22"/>
                <w:szCs w:val="22"/>
              </w:rPr>
            </w:pPr>
            <w:r w:rsidRPr="00E65A6E">
              <w:rPr>
                <w:rFonts w:ascii="Arial" w:hAnsi="Arial" w:cs="Arial"/>
                <w:b/>
                <w:sz w:val="22"/>
                <w:szCs w:val="22"/>
              </w:rPr>
              <w:t>2</w:t>
            </w:r>
          </w:p>
        </w:tc>
        <w:tc>
          <w:tcPr>
            <w:tcW w:w="3378" w:type="dxa"/>
          </w:tcPr>
          <w:p w14:paraId="3E44A7D6" w14:textId="77777777" w:rsidR="003E123E" w:rsidRDefault="003E123E" w:rsidP="00B943EF">
            <w:pPr>
              <w:spacing w:after="240"/>
              <w:jc w:val="both"/>
              <w:rPr>
                <w:rFonts w:ascii="Arial" w:hAnsi="Arial" w:cs="Arial"/>
                <w:sz w:val="22"/>
                <w:szCs w:val="22"/>
              </w:rPr>
            </w:pPr>
            <w:r>
              <w:rPr>
                <w:rFonts w:ascii="Arial" w:hAnsi="Arial" w:cs="Arial"/>
                <w:sz w:val="22"/>
                <w:szCs w:val="22"/>
              </w:rPr>
              <w:t>S</w:t>
            </w:r>
            <w:r w:rsidRPr="00362D17">
              <w:rPr>
                <w:rFonts w:ascii="Arial" w:hAnsi="Arial" w:cs="Arial"/>
                <w:sz w:val="22"/>
                <w:szCs w:val="22"/>
              </w:rPr>
              <w:t xml:space="preserve">ubmit a sample of programme for a training of a duration of three hours for 30 teachers </w:t>
            </w:r>
          </w:p>
        </w:tc>
        <w:tc>
          <w:tcPr>
            <w:tcW w:w="2092" w:type="dxa"/>
          </w:tcPr>
          <w:p w14:paraId="6AE794B5"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20 points</w:t>
            </w:r>
          </w:p>
        </w:tc>
        <w:tc>
          <w:tcPr>
            <w:tcW w:w="1283" w:type="dxa"/>
          </w:tcPr>
          <w:p w14:paraId="5140C708" w14:textId="77777777" w:rsidR="003E123E" w:rsidRPr="00362D17" w:rsidRDefault="003E123E" w:rsidP="00B943EF">
            <w:pPr>
              <w:spacing w:after="240"/>
              <w:jc w:val="both"/>
              <w:rPr>
                <w:rFonts w:ascii="Arial" w:hAnsi="Arial" w:cs="Arial"/>
                <w:sz w:val="22"/>
                <w:szCs w:val="22"/>
              </w:rPr>
            </w:pPr>
            <w:r>
              <w:rPr>
                <w:rFonts w:ascii="Arial" w:hAnsi="Arial" w:cs="Arial"/>
                <w:sz w:val="22"/>
                <w:szCs w:val="22"/>
              </w:rPr>
              <w:t>15</w:t>
            </w:r>
          </w:p>
        </w:tc>
      </w:tr>
      <w:tr w:rsidR="003E123E" w14:paraId="6C1A531E" w14:textId="77777777" w:rsidTr="00B943EF">
        <w:tc>
          <w:tcPr>
            <w:tcW w:w="2287" w:type="dxa"/>
          </w:tcPr>
          <w:p w14:paraId="20B59F50" w14:textId="77777777" w:rsidR="003E123E" w:rsidRDefault="003E123E" w:rsidP="00B943EF">
            <w:pPr>
              <w:spacing w:after="240"/>
              <w:jc w:val="both"/>
              <w:rPr>
                <w:rFonts w:ascii="Arial" w:hAnsi="Arial" w:cs="Arial"/>
                <w:sz w:val="22"/>
                <w:szCs w:val="22"/>
              </w:rPr>
            </w:pPr>
          </w:p>
        </w:tc>
        <w:tc>
          <w:tcPr>
            <w:tcW w:w="3378" w:type="dxa"/>
          </w:tcPr>
          <w:p w14:paraId="72AD9301" w14:textId="77777777" w:rsidR="003E123E" w:rsidRDefault="003E123E" w:rsidP="00B943EF">
            <w:pPr>
              <w:spacing w:after="240"/>
              <w:jc w:val="both"/>
              <w:rPr>
                <w:rFonts w:ascii="Arial" w:hAnsi="Arial" w:cs="Arial"/>
                <w:sz w:val="22"/>
                <w:szCs w:val="22"/>
              </w:rPr>
            </w:pPr>
            <w:r>
              <w:rPr>
                <w:rFonts w:ascii="Arial" w:hAnsi="Arial" w:cs="Arial"/>
                <w:sz w:val="22"/>
                <w:szCs w:val="22"/>
              </w:rPr>
              <w:t xml:space="preserve">In relation with the submitted programme, </w:t>
            </w:r>
            <w:r w:rsidRPr="00362D17">
              <w:rPr>
                <w:rFonts w:ascii="Arial" w:hAnsi="Arial" w:cs="Arial"/>
                <w:sz w:val="22"/>
                <w:szCs w:val="22"/>
              </w:rPr>
              <w:t>submit a report of between two and four pages on the topic of how to teach on European Parliament, in particular on European parliamentary democracy and European citizenship, including</w:t>
            </w:r>
          </w:p>
          <w:p w14:paraId="07ED907E" w14:textId="77777777" w:rsidR="003E123E" w:rsidRDefault="003E123E" w:rsidP="00B943EF">
            <w:pPr>
              <w:spacing w:after="240"/>
              <w:rPr>
                <w:rFonts w:ascii="Arial" w:hAnsi="Arial" w:cs="Arial"/>
                <w:sz w:val="22"/>
                <w:szCs w:val="22"/>
              </w:rPr>
            </w:pPr>
            <w:r>
              <w:rPr>
                <w:rFonts w:ascii="Arial" w:hAnsi="Arial" w:cs="Arial"/>
                <w:sz w:val="22"/>
                <w:szCs w:val="22"/>
              </w:rPr>
              <w:t xml:space="preserve">a) </w:t>
            </w:r>
            <w:r w:rsidRPr="00362D17">
              <w:rPr>
                <w:rFonts w:ascii="Arial" w:hAnsi="Arial" w:cs="Arial"/>
                <w:sz w:val="22"/>
                <w:szCs w:val="22"/>
              </w:rPr>
              <w:t xml:space="preserve">a detailed description </w:t>
            </w:r>
            <w:r>
              <w:rPr>
                <w:rFonts w:ascii="Arial" w:hAnsi="Arial" w:cs="Arial"/>
                <w:sz w:val="22"/>
                <w:szCs w:val="22"/>
              </w:rPr>
              <w:t>on the objectives and outcomes</w:t>
            </w:r>
          </w:p>
        </w:tc>
        <w:tc>
          <w:tcPr>
            <w:tcW w:w="2092" w:type="dxa"/>
          </w:tcPr>
          <w:p w14:paraId="3FCCE074"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10 points</w:t>
            </w:r>
          </w:p>
        </w:tc>
        <w:tc>
          <w:tcPr>
            <w:tcW w:w="1283" w:type="dxa"/>
          </w:tcPr>
          <w:p w14:paraId="31CBA233" w14:textId="77777777" w:rsidR="003E123E" w:rsidRDefault="003E123E" w:rsidP="00B943EF">
            <w:pPr>
              <w:spacing w:after="240"/>
              <w:jc w:val="both"/>
              <w:rPr>
                <w:rFonts w:ascii="Arial" w:hAnsi="Arial" w:cs="Arial"/>
                <w:sz w:val="22"/>
                <w:szCs w:val="22"/>
              </w:rPr>
            </w:pPr>
            <w:r>
              <w:rPr>
                <w:rFonts w:ascii="Arial" w:hAnsi="Arial" w:cs="Arial"/>
                <w:sz w:val="22"/>
                <w:szCs w:val="22"/>
              </w:rPr>
              <w:t>5</w:t>
            </w:r>
          </w:p>
        </w:tc>
      </w:tr>
      <w:tr w:rsidR="003E123E" w14:paraId="6C928093" w14:textId="77777777" w:rsidTr="00B943EF">
        <w:tc>
          <w:tcPr>
            <w:tcW w:w="2287" w:type="dxa"/>
          </w:tcPr>
          <w:p w14:paraId="48F3A8DF" w14:textId="77777777" w:rsidR="003E123E" w:rsidRDefault="003E123E" w:rsidP="00B943EF">
            <w:pPr>
              <w:spacing w:after="240"/>
              <w:jc w:val="both"/>
              <w:rPr>
                <w:rFonts w:ascii="Arial" w:hAnsi="Arial" w:cs="Arial"/>
                <w:sz w:val="22"/>
                <w:szCs w:val="22"/>
              </w:rPr>
            </w:pPr>
          </w:p>
        </w:tc>
        <w:tc>
          <w:tcPr>
            <w:tcW w:w="3378" w:type="dxa"/>
          </w:tcPr>
          <w:p w14:paraId="46A26055" w14:textId="77777777" w:rsidR="003E123E" w:rsidRDefault="003E123E" w:rsidP="00B943EF">
            <w:pPr>
              <w:tabs>
                <w:tab w:val="left" w:pos="9"/>
              </w:tabs>
              <w:spacing w:after="240"/>
              <w:rPr>
                <w:rFonts w:ascii="Arial" w:hAnsi="Arial" w:cs="Arial"/>
                <w:sz w:val="22"/>
                <w:szCs w:val="22"/>
              </w:rPr>
            </w:pPr>
            <w:r>
              <w:rPr>
                <w:rFonts w:ascii="Arial" w:hAnsi="Arial" w:cs="Arial"/>
                <w:sz w:val="22"/>
                <w:szCs w:val="22"/>
              </w:rPr>
              <w:t xml:space="preserve">b) </w:t>
            </w:r>
            <w:r w:rsidRPr="00362D17">
              <w:rPr>
                <w:rFonts w:ascii="Arial" w:hAnsi="Arial" w:cs="Arial"/>
                <w:sz w:val="22"/>
                <w:szCs w:val="22"/>
              </w:rPr>
              <w:t>activities envisaged (creative/innovative and that respond directly to the needs and inte</w:t>
            </w:r>
            <w:r>
              <w:rPr>
                <w:rFonts w:ascii="Arial" w:hAnsi="Arial" w:cs="Arial"/>
                <w:sz w:val="22"/>
                <w:szCs w:val="22"/>
              </w:rPr>
              <w:t>rests of pupils and teachers),</w:t>
            </w:r>
          </w:p>
        </w:tc>
        <w:tc>
          <w:tcPr>
            <w:tcW w:w="2092" w:type="dxa"/>
          </w:tcPr>
          <w:p w14:paraId="5E56773E"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10 points</w:t>
            </w:r>
          </w:p>
        </w:tc>
        <w:tc>
          <w:tcPr>
            <w:tcW w:w="1283" w:type="dxa"/>
          </w:tcPr>
          <w:p w14:paraId="3629619C" w14:textId="77777777" w:rsidR="003E123E" w:rsidRDefault="003E123E" w:rsidP="00B943EF">
            <w:pPr>
              <w:spacing w:after="240"/>
              <w:jc w:val="both"/>
              <w:rPr>
                <w:rFonts w:ascii="Arial" w:hAnsi="Arial" w:cs="Arial"/>
                <w:sz w:val="22"/>
                <w:szCs w:val="22"/>
              </w:rPr>
            </w:pPr>
            <w:r>
              <w:rPr>
                <w:rFonts w:ascii="Arial" w:hAnsi="Arial" w:cs="Arial"/>
                <w:sz w:val="22"/>
                <w:szCs w:val="22"/>
              </w:rPr>
              <w:t>5</w:t>
            </w:r>
          </w:p>
        </w:tc>
      </w:tr>
      <w:tr w:rsidR="003E123E" w14:paraId="2A64BD2A" w14:textId="77777777" w:rsidTr="00B943EF">
        <w:tc>
          <w:tcPr>
            <w:tcW w:w="2287" w:type="dxa"/>
          </w:tcPr>
          <w:p w14:paraId="4B5B7E9D" w14:textId="77777777" w:rsidR="003E123E" w:rsidRDefault="003E123E" w:rsidP="00B943EF">
            <w:pPr>
              <w:spacing w:after="240"/>
              <w:jc w:val="both"/>
              <w:rPr>
                <w:rFonts w:ascii="Arial" w:hAnsi="Arial" w:cs="Arial"/>
                <w:sz w:val="22"/>
                <w:szCs w:val="22"/>
              </w:rPr>
            </w:pPr>
          </w:p>
        </w:tc>
        <w:tc>
          <w:tcPr>
            <w:tcW w:w="3378" w:type="dxa"/>
          </w:tcPr>
          <w:p w14:paraId="10152694" w14:textId="77777777" w:rsidR="003E123E" w:rsidRDefault="003E123E" w:rsidP="00B943EF">
            <w:pPr>
              <w:spacing w:after="240"/>
              <w:rPr>
                <w:rFonts w:ascii="Arial" w:hAnsi="Arial" w:cs="Arial"/>
                <w:sz w:val="22"/>
                <w:szCs w:val="22"/>
              </w:rPr>
            </w:pPr>
            <w:r>
              <w:rPr>
                <w:rFonts w:ascii="Arial" w:hAnsi="Arial" w:cs="Arial"/>
                <w:sz w:val="22"/>
                <w:szCs w:val="22"/>
              </w:rPr>
              <w:t>c)</w:t>
            </w:r>
            <w:r w:rsidRPr="00362D17">
              <w:rPr>
                <w:rFonts w:ascii="Arial" w:hAnsi="Arial" w:cs="Arial"/>
                <w:sz w:val="22"/>
                <w:szCs w:val="22"/>
              </w:rPr>
              <w:t xml:space="preserve"> meth</w:t>
            </w:r>
            <w:r>
              <w:rPr>
                <w:rFonts w:ascii="Arial" w:hAnsi="Arial" w:cs="Arial"/>
                <w:sz w:val="22"/>
                <w:szCs w:val="22"/>
              </w:rPr>
              <w:t xml:space="preserve">ods of training and evaluation </w:t>
            </w:r>
          </w:p>
        </w:tc>
        <w:tc>
          <w:tcPr>
            <w:tcW w:w="2092" w:type="dxa"/>
          </w:tcPr>
          <w:p w14:paraId="1675B191" w14:textId="77777777" w:rsidR="003E123E" w:rsidRDefault="003E123E" w:rsidP="00B943EF">
            <w:pPr>
              <w:spacing w:after="240"/>
              <w:jc w:val="both"/>
              <w:rPr>
                <w:rFonts w:ascii="Arial" w:hAnsi="Arial" w:cs="Arial"/>
                <w:sz w:val="22"/>
                <w:szCs w:val="22"/>
              </w:rPr>
            </w:pPr>
            <w:r w:rsidRPr="00362D17">
              <w:rPr>
                <w:rFonts w:ascii="Arial" w:hAnsi="Arial" w:cs="Arial"/>
                <w:sz w:val="22"/>
                <w:szCs w:val="22"/>
              </w:rPr>
              <w:t>10 points</w:t>
            </w:r>
          </w:p>
        </w:tc>
        <w:tc>
          <w:tcPr>
            <w:tcW w:w="1283" w:type="dxa"/>
          </w:tcPr>
          <w:p w14:paraId="3C29CB30" w14:textId="77777777" w:rsidR="003E123E" w:rsidRDefault="003E123E" w:rsidP="00B943EF">
            <w:pPr>
              <w:spacing w:after="240"/>
              <w:jc w:val="both"/>
              <w:rPr>
                <w:rFonts w:ascii="Arial" w:hAnsi="Arial" w:cs="Arial"/>
                <w:sz w:val="22"/>
                <w:szCs w:val="22"/>
              </w:rPr>
            </w:pPr>
            <w:r>
              <w:rPr>
                <w:rFonts w:ascii="Arial" w:hAnsi="Arial" w:cs="Arial"/>
                <w:sz w:val="22"/>
                <w:szCs w:val="22"/>
              </w:rPr>
              <w:t>5</w:t>
            </w:r>
          </w:p>
        </w:tc>
      </w:tr>
    </w:tbl>
    <w:p w14:paraId="75B9CE18" w14:textId="77777777" w:rsidR="003E123E" w:rsidRPr="00362D17" w:rsidRDefault="003E123E" w:rsidP="003E123E">
      <w:pPr>
        <w:spacing w:after="240"/>
        <w:jc w:val="both"/>
        <w:rPr>
          <w:rFonts w:ascii="Arial" w:hAnsi="Arial" w:cs="Arial"/>
          <w:sz w:val="22"/>
          <w:szCs w:val="22"/>
        </w:rPr>
      </w:pPr>
    </w:p>
    <w:p w14:paraId="742466C0" w14:textId="77777777" w:rsidR="003E123E" w:rsidRPr="00362D17" w:rsidRDefault="003E123E" w:rsidP="003E123E">
      <w:pPr>
        <w:tabs>
          <w:tab w:val="left" w:pos="0"/>
        </w:tabs>
        <w:spacing w:after="240"/>
        <w:rPr>
          <w:rFonts w:ascii="Arial" w:hAnsi="Arial" w:cs="Arial"/>
          <w:sz w:val="22"/>
          <w:szCs w:val="22"/>
        </w:rPr>
      </w:pPr>
      <w:r w:rsidRPr="00362D17">
        <w:rPr>
          <w:rFonts w:ascii="Arial" w:hAnsi="Arial" w:cs="Arial"/>
          <w:sz w:val="22"/>
          <w:szCs w:val="22"/>
        </w:rPr>
        <w:t>To be accepted for the next phase of the price assessment, tenders must receive a minimum of 60 points for criteria 1 and 2 combined (provided that criteria 1 and 2 receive a minimum of 30 points each).</w:t>
      </w:r>
    </w:p>
    <w:p w14:paraId="3386D3A7" w14:textId="77777777" w:rsidR="003E123E" w:rsidRPr="00362D17" w:rsidRDefault="003E123E" w:rsidP="003E123E">
      <w:pPr>
        <w:spacing w:after="240"/>
        <w:jc w:val="both"/>
        <w:rPr>
          <w:rFonts w:ascii="Arial" w:hAnsi="Arial" w:cs="Arial"/>
          <w:sz w:val="22"/>
          <w:szCs w:val="22"/>
        </w:rPr>
      </w:pPr>
      <m:oMathPara>
        <m:oMath>
          <m:r>
            <m:rPr>
              <m:sty m:val="p"/>
            </m:rPr>
            <w:rPr>
              <w:rFonts w:ascii="Cambria Math" w:hAnsi="Cambria Math" w:cs="Arial"/>
              <w:sz w:val="22"/>
              <w:szCs w:val="22"/>
            </w:rPr>
            <m:t>Score for tender X</m:t>
          </m:r>
          <m:r>
            <w:rPr>
              <w:rFonts w:ascii="Cambria Math" w:hAnsi="Cambria Math" w:cs="Arial"/>
              <w:sz w:val="22"/>
              <w:szCs w:val="22"/>
            </w:rPr>
            <m:t>=</m:t>
          </m:r>
          <m:f>
            <m:fPr>
              <m:ctrlPr>
                <w:rPr>
                  <w:rFonts w:ascii="Cambria Math" w:hAnsi="Cambria Math" w:cs="Arial"/>
                  <w:sz w:val="22"/>
                  <w:szCs w:val="22"/>
                </w:rPr>
              </m:ctrlPr>
            </m:fPr>
            <m:num>
              <m:r>
                <m:rPr>
                  <m:sty m:val="p"/>
                </m:rPr>
                <w:rPr>
                  <w:rFonts w:ascii="Cambria Math" w:hAnsi="Cambria Math" w:cs="Arial"/>
                  <w:sz w:val="22"/>
                  <w:szCs w:val="22"/>
                </w:rPr>
                <m:t>Cheapest price</m:t>
              </m:r>
            </m:num>
            <m:den>
              <m:r>
                <m:rPr>
                  <m:sty m:val="p"/>
                </m:rPr>
                <w:rPr>
                  <w:rFonts w:ascii="Cambria Math" w:hAnsi="Cambria Math" w:cs="Arial"/>
                  <w:sz w:val="22"/>
                  <w:szCs w:val="22"/>
                </w:rPr>
                <m:t>Price of tender X</m:t>
              </m:r>
            </m:den>
          </m:f>
          <m:r>
            <w:rPr>
              <w:rFonts w:ascii="Cambria Math" w:hAnsi="Cambria Math" w:cs="Arial"/>
              <w:sz w:val="22"/>
              <w:szCs w:val="22"/>
            </w:rPr>
            <m:t>*100*30%</m:t>
          </m:r>
          <m:r>
            <m:rPr>
              <m:sty m:val="p"/>
            </m:rPr>
            <w:rPr>
              <w:rFonts w:ascii="Cambria Math" w:hAnsi="Cambria Math" w:cs="Arial"/>
              <w:sz w:val="22"/>
              <w:szCs w:val="22"/>
            </w:rPr>
            <m:t>+Quality score of tender X*70%</m:t>
          </m:r>
        </m:oMath>
      </m:oMathPara>
    </w:p>
    <w:p w14:paraId="567289E7" w14:textId="77777777" w:rsidR="003E123E" w:rsidRPr="001375DE" w:rsidRDefault="003E123E" w:rsidP="003E123E">
      <w:pPr>
        <w:spacing w:after="240"/>
        <w:jc w:val="both"/>
        <w:rPr>
          <w:noProof/>
        </w:rPr>
      </w:pPr>
      <w:r w:rsidRPr="001375DE">
        <w:rPr>
          <w:noProof/>
        </w:rPr>
        <w:t xml:space="preserve">The Contract will be awarded to the tenderer receiving </w:t>
      </w:r>
      <w:r>
        <w:rPr>
          <w:noProof/>
        </w:rPr>
        <w:t>the highest score.</w:t>
      </w:r>
    </w:p>
    <w:p w14:paraId="3CADF0DA" w14:textId="58B6D8E7" w:rsidR="00BD0B76" w:rsidRPr="005D7987" w:rsidRDefault="00BD0B76" w:rsidP="003E123E">
      <w:pPr>
        <w:spacing w:after="240"/>
        <w:jc w:val="both"/>
      </w:pPr>
    </w:p>
    <w:p w14:paraId="7B613AA9" w14:textId="3015B116" w:rsidR="00BD0B76" w:rsidRPr="005D7987" w:rsidRDefault="00BD0B76">
      <w:pPr>
        <w:jc w:val="center"/>
        <w:rPr>
          <w:b/>
        </w:rPr>
      </w:pPr>
      <w:r w:rsidRPr="005D7987">
        <w:br w:type="page"/>
      </w:r>
      <w:r w:rsidR="005A477C" w:rsidRPr="005D7987" w:rsidDel="005A477C">
        <w:rPr>
          <w:b/>
        </w:rPr>
        <w:lastRenderedPageBreak/>
        <w:t xml:space="preserve"> </w:t>
      </w:r>
      <w:r w:rsidRPr="005D7987">
        <w:rPr>
          <w:b/>
        </w:rPr>
        <w:t xml:space="preserve">Annex </w:t>
      </w:r>
      <w:r w:rsidR="0006319F">
        <w:rPr>
          <w:b/>
        </w:rPr>
        <w:t>III</w:t>
      </w:r>
      <w:r w:rsidRPr="005D7987">
        <w:rPr>
          <w:b/>
        </w:rPr>
        <w:t>:</w:t>
      </w:r>
      <w:r w:rsidRPr="005D7987">
        <w:t xml:space="preserve"> </w:t>
      </w:r>
      <w:r w:rsidRPr="005D7987">
        <w:rPr>
          <w:b/>
        </w:rPr>
        <w:t>Declaration on the tenderer’s honour concerning the exclusion</w:t>
      </w:r>
      <w:r w:rsidR="00D22BB2" w:rsidRPr="005D7987">
        <w:rPr>
          <w:b/>
        </w:rPr>
        <w:t xml:space="preserve"> and sel</w:t>
      </w:r>
      <w:r w:rsidR="00691F99" w:rsidRPr="005D7987">
        <w:rPr>
          <w:b/>
        </w:rPr>
        <w:t>e</w:t>
      </w:r>
      <w:r w:rsidR="00D22BB2" w:rsidRPr="005D7987">
        <w:rPr>
          <w:b/>
        </w:rPr>
        <w:t xml:space="preserve">ction </w:t>
      </w:r>
      <w:r w:rsidRPr="005D7987">
        <w:rPr>
          <w:b/>
        </w:rPr>
        <w:t xml:space="preserve">criteria </w:t>
      </w:r>
    </w:p>
    <w:p w14:paraId="5C146E5D" w14:textId="77777777" w:rsidR="00BD0B76" w:rsidRPr="005D7987" w:rsidRDefault="00BD0B76">
      <w:pPr>
        <w:rPr>
          <w:b/>
        </w:rPr>
      </w:pPr>
    </w:p>
    <w:p w14:paraId="16DAC120" w14:textId="77777777" w:rsidR="005E3807" w:rsidRPr="005D7987" w:rsidRDefault="005E3807" w:rsidP="005E3807">
      <w:pPr>
        <w:spacing w:before="100" w:beforeAutospacing="1" w:after="100" w:afterAutospacing="1"/>
        <w:jc w:val="both"/>
        <w:rPr>
          <w:noProof/>
        </w:rPr>
      </w:pPr>
      <w:r w:rsidRPr="005D7987">
        <w:rPr>
          <w:noProof/>
        </w:rPr>
        <w:t>The undersigned [</w:t>
      </w:r>
      <w:r w:rsidRPr="005D7987">
        <w:rPr>
          <w:i/>
          <w:noProof/>
          <w:highlight w:val="lightGray"/>
        </w:rPr>
        <w:t>insert name of the signatory of this form</w:t>
      </w:r>
      <w:r w:rsidRPr="005D7987">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E3807" w:rsidRPr="0016702E" w14:paraId="1494F3B5" w14:textId="77777777" w:rsidTr="00A27FDF">
        <w:tc>
          <w:tcPr>
            <w:tcW w:w="3369" w:type="dxa"/>
            <w:shd w:val="clear" w:color="auto" w:fill="auto"/>
          </w:tcPr>
          <w:p w14:paraId="612FAC35" w14:textId="77777777" w:rsidR="005E3807" w:rsidRPr="005D7987" w:rsidRDefault="005E3807" w:rsidP="00A27FDF">
            <w:pPr>
              <w:jc w:val="both"/>
              <w:rPr>
                <w:noProof/>
              </w:rPr>
            </w:pPr>
            <w:r w:rsidRPr="005D7987">
              <w:rPr>
                <w:noProof/>
              </w:rPr>
              <w:t>(</w:t>
            </w:r>
            <w:r w:rsidRPr="005D7987">
              <w:rPr>
                <w:i/>
                <w:noProof/>
              </w:rPr>
              <w:t>only for natural persons</w:t>
            </w:r>
            <w:r w:rsidRPr="005D7987">
              <w:rPr>
                <w:noProof/>
              </w:rPr>
              <w:t>) himself or herself</w:t>
            </w:r>
          </w:p>
        </w:tc>
        <w:tc>
          <w:tcPr>
            <w:tcW w:w="6378" w:type="dxa"/>
            <w:shd w:val="clear" w:color="auto" w:fill="auto"/>
          </w:tcPr>
          <w:p w14:paraId="7CEE674F" w14:textId="77777777" w:rsidR="005E3807" w:rsidRPr="005D7987" w:rsidRDefault="005E3807" w:rsidP="00A27FDF">
            <w:pPr>
              <w:jc w:val="both"/>
              <w:rPr>
                <w:noProof/>
              </w:rPr>
            </w:pPr>
            <w:r w:rsidRPr="005D7987">
              <w:rPr>
                <w:noProof/>
              </w:rPr>
              <w:t>(</w:t>
            </w:r>
            <w:r w:rsidRPr="005D7987">
              <w:rPr>
                <w:i/>
                <w:noProof/>
              </w:rPr>
              <w:t>only for legal persons</w:t>
            </w:r>
            <w:r w:rsidRPr="005D7987">
              <w:rPr>
                <w:noProof/>
              </w:rPr>
              <w:t xml:space="preserve">) the following legal person: </w:t>
            </w:r>
          </w:p>
          <w:p w14:paraId="60FE3DC7" w14:textId="77777777" w:rsidR="005E3807" w:rsidRPr="005D7987" w:rsidRDefault="005E3807" w:rsidP="00A27FDF">
            <w:pPr>
              <w:jc w:val="both"/>
              <w:rPr>
                <w:noProof/>
              </w:rPr>
            </w:pPr>
          </w:p>
        </w:tc>
      </w:tr>
      <w:tr w:rsidR="005E3807" w:rsidRPr="0016702E" w14:paraId="76466073" w14:textId="77777777" w:rsidTr="00A27FDF">
        <w:tc>
          <w:tcPr>
            <w:tcW w:w="3369" w:type="dxa"/>
            <w:shd w:val="clear" w:color="auto" w:fill="auto"/>
          </w:tcPr>
          <w:p w14:paraId="31561642" w14:textId="77777777" w:rsidR="005E3807" w:rsidRPr="005D7987" w:rsidRDefault="005E3807" w:rsidP="00A27FDF">
            <w:pPr>
              <w:jc w:val="both"/>
            </w:pPr>
            <w:r w:rsidRPr="005D7987">
              <w:t xml:space="preserve">ID or passport number: </w:t>
            </w:r>
          </w:p>
          <w:p w14:paraId="4EA0C1F6" w14:textId="77777777" w:rsidR="005E3807" w:rsidRPr="005D7987" w:rsidRDefault="005E3807" w:rsidP="00A27FDF">
            <w:pPr>
              <w:jc w:val="both"/>
              <w:rPr>
                <w:noProof/>
              </w:rPr>
            </w:pPr>
          </w:p>
          <w:p w14:paraId="083DC7FF" w14:textId="77777777" w:rsidR="005E3807" w:rsidRPr="005D7987" w:rsidRDefault="005E3807" w:rsidP="00A27FDF">
            <w:pPr>
              <w:jc w:val="both"/>
              <w:rPr>
                <w:noProof/>
              </w:rPr>
            </w:pPr>
            <w:r w:rsidRPr="005D7987">
              <w:rPr>
                <w:noProof/>
              </w:rPr>
              <w:t>(‘the person’)</w:t>
            </w:r>
          </w:p>
        </w:tc>
        <w:tc>
          <w:tcPr>
            <w:tcW w:w="6378" w:type="dxa"/>
            <w:shd w:val="clear" w:color="auto" w:fill="auto"/>
          </w:tcPr>
          <w:p w14:paraId="452E3C02" w14:textId="77777777" w:rsidR="005E3807" w:rsidRPr="005D7987" w:rsidRDefault="005E3807" w:rsidP="00A27FDF">
            <w:pPr>
              <w:rPr>
                <w:b/>
              </w:rPr>
            </w:pPr>
            <w:r w:rsidRPr="005D7987">
              <w:t>Full official name:</w:t>
            </w:r>
          </w:p>
          <w:p w14:paraId="19C0DF50" w14:textId="77777777" w:rsidR="005E3807" w:rsidRPr="005D7987" w:rsidRDefault="005E3807" w:rsidP="00A27FDF">
            <w:r w:rsidRPr="005D7987">
              <w:t xml:space="preserve">Official legal form: </w:t>
            </w:r>
          </w:p>
          <w:p w14:paraId="1743B796" w14:textId="77777777" w:rsidR="005E3807" w:rsidRPr="005D7987" w:rsidRDefault="005E3807" w:rsidP="00A27FDF">
            <w:pPr>
              <w:rPr>
                <w:b/>
              </w:rPr>
            </w:pPr>
            <w:r w:rsidRPr="005D7987">
              <w:t>Statutory registration number</w:t>
            </w:r>
            <w:r w:rsidRPr="005D7987">
              <w:rPr>
                <w:b/>
              </w:rPr>
              <w:t xml:space="preserve">: </w:t>
            </w:r>
          </w:p>
          <w:p w14:paraId="1BE6BFD3" w14:textId="77777777" w:rsidR="005E3807" w:rsidRPr="005D7987" w:rsidRDefault="005E3807" w:rsidP="00A27FDF">
            <w:pPr>
              <w:rPr>
                <w:b/>
              </w:rPr>
            </w:pPr>
            <w:r w:rsidRPr="005D7987">
              <w:t xml:space="preserve">Full official address: </w:t>
            </w:r>
          </w:p>
          <w:p w14:paraId="7E59BC51" w14:textId="77777777" w:rsidR="005E3807" w:rsidRPr="005D7987" w:rsidRDefault="005E3807" w:rsidP="00A27FDF">
            <w:r w:rsidRPr="005D7987">
              <w:t xml:space="preserve">VAT registration number: </w:t>
            </w:r>
          </w:p>
          <w:p w14:paraId="539A783E" w14:textId="77777777" w:rsidR="005E3807" w:rsidRPr="005D7987" w:rsidRDefault="005E3807" w:rsidP="00A27FDF">
            <w:pPr>
              <w:rPr>
                <w:noProof/>
              </w:rPr>
            </w:pPr>
          </w:p>
          <w:p w14:paraId="6803D66F" w14:textId="77777777" w:rsidR="005E3807" w:rsidRPr="005D7987" w:rsidRDefault="005E3807" w:rsidP="00A27FDF">
            <w:pPr>
              <w:rPr>
                <w:noProof/>
              </w:rPr>
            </w:pPr>
            <w:r w:rsidRPr="005D7987">
              <w:rPr>
                <w:noProof/>
              </w:rPr>
              <w:t>(‘the person’)</w:t>
            </w:r>
          </w:p>
        </w:tc>
      </w:tr>
    </w:tbl>
    <w:p w14:paraId="04EF0CD9" w14:textId="77777777" w:rsidR="00A55867" w:rsidRPr="005D7987" w:rsidRDefault="00A55867" w:rsidP="00A55867">
      <w:pPr>
        <w:jc w:val="both"/>
      </w:pPr>
    </w:p>
    <w:p w14:paraId="61CC980D" w14:textId="77777777" w:rsidR="00A55867" w:rsidRPr="005D7987" w:rsidRDefault="00A55867" w:rsidP="00A55867">
      <w:pPr>
        <w:jc w:val="both"/>
      </w:pPr>
      <w:r w:rsidRPr="005D7987">
        <w:t>The person is not required to submit the declaration on exclusion criteria if the same declaration has already been submitted for the purposes of another award procedure of the same contracting authority</w:t>
      </w:r>
      <w:r w:rsidRPr="005D7987">
        <w:rPr>
          <w:vertAlign w:val="superscript"/>
        </w:rPr>
        <w:footnoteReference w:id="2"/>
      </w:r>
      <w:r w:rsidRPr="005D7987">
        <w:t>, provided the situation has not changed, and that the time that has elapsed since the issuing date of the declaration does not exceed one year.</w:t>
      </w:r>
    </w:p>
    <w:p w14:paraId="00F225E9" w14:textId="77777777" w:rsidR="00A55867" w:rsidRPr="005D7987" w:rsidRDefault="00A55867" w:rsidP="00A55867">
      <w:pPr>
        <w:spacing w:before="100" w:beforeAutospacing="1" w:after="100" w:afterAutospacing="1"/>
        <w:jc w:val="both"/>
      </w:pPr>
      <w:r w:rsidRPr="005D7987">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55867" w:rsidRPr="0016702E" w14:paraId="2CCF481C" w14:textId="77777777" w:rsidTr="00E748DE">
        <w:tc>
          <w:tcPr>
            <w:tcW w:w="2802" w:type="dxa"/>
            <w:shd w:val="clear" w:color="auto" w:fill="auto"/>
          </w:tcPr>
          <w:p w14:paraId="64A5006F" w14:textId="77777777" w:rsidR="00A55867" w:rsidRPr="005D7987" w:rsidRDefault="00A55867" w:rsidP="00E748DE">
            <w:pPr>
              <w:spacing w:before="100" w:beforeAutospacing="1" w:after="100" w:afterAutospacing="1"/>
              <w:jc w:val="center"/>
              <w:rPr>
                <w:b/>
              </w:rPr>
            </w:pPr>
            <w:r w:rsidRPr="005D7987">
              <w:rPr>
                <w:b/>
              </w:rPr>
              <w:t>Date of the declaration</w:t>
            </w:r>
          </w:p>
        </w:tc>
        <w:tc>
          <w:tcPr>
            <w:tcW w:w="6662" w:type="dxa"/>
            <w:shd w:val="clear" w:color="auto" w:fill="auto"/>
          </w:tcPr>
          <w:p w14:paraId="290E8349" w14:textId="77777777" w:rsidR="00A55867" w:rsidRPr="005D7987" w:rsidRDefault="00A55867" w:rsidP="00E748DE">
            <w:pPr>
              <w:spacing w:before="100" w:beforeAutospacing="1" w:after="100" w:afterAutospacing="1"/>
              <w:jc w:val="center"/>
              <w:rPr>
                <w:b/>
              </w:rPr>
            </w:pPr>
            <w:r w:rsidRPr="005D7987">
              <w:rPr>
                <w:b/>
              </w:rPr>
              <w:t>Full reference to previous procedure</w:t>
            </w:r>
          </w:p>
        </w:tc>
      </w:tr>
      <w:tr w:rsidR="00A55867" w:rsidRPr="0016702E" w14:paraId="71A86E10" w14:textId="77777777" w:rsidTr="00E748DE">
        <w:tc>
          <w:tcPr>
            <w:tcW w:w="2802" w:type="dxa"/>
            <w:shd w:val="clear" w:color="auto" w:fill="auto"/>
          </w:tcPr>
          <w:p w14:paraId="270E23AE" w14:textId="77777777" w:rsidR="00A55867" w:rsidRPr="005D7987" w:rsidRDefault="00A55867" w:rsidP="00E748DE">
            <w:pPr>
              <w:spacing w:before="100" w:beforeAutospacing="1" w:after="100" w:afterAutospacing="1"/>
            </w:pPr>
          </w:p>
        </w:tc>
        <w:tc>
          <w:tcPr>
            <w:tcW w:w="6662" w:type="dxa"/>
            <w:shd w:val="clear" w:color="auto" w:fill="auto"/>
          </w:tcPr>
          <w:p w14:paraId="647B84F4" w14:textId="77777777" w:rsidR="00A55867" w:rsidRPr="005D7987" w:rsidRDefault="00A55867" w:rsidP="00E748DE">
            <w:pPr>
              <w:spacing w:before="100" w:beforeAutospacing="1" w:after="100" w:afterAutospacing="1"/>
            </w:pPr>
          </w:p>
        </w:tc>
      </w:tr>
    </w:tbl>
    <w:p w14:paraId="65934B74" w14:textId="77777777" w:rsidR="00A55867" w:rsidRPr="005D7987" w:rsidRDefault="00A55867" w:rsidP="005E3807">
      <w:pPr>
        <w:pStyle w:val="Title"/>
        <w:rPr>
          <w:rFonts w:ascii="Times New Roman" w:hAnsi="Times New Roman"/>
          <w:noProof/>
          <w:szCs w:val="24"/>
        </w:rPr>
      </w:pPr>
    </w:p>
    <w:p w14:paraId="5EC293DB" w14:textId="77777777" w:rsidR="005E3807" w:rsidRPr="005D7987" w:rsidRDefault="005E3807" w:rsidP="005E3807">
      <w:pPr>
        <w:pStyle w:val="Title"/>
        <w:rPr>
          <w:rFonts w:ascii="Times New Roman" w:hAnsi="Times New Roman"/>
          <w:noProof/>
          <w:szCs w:val="24"/>
        </w:rPr>
      </w:pPr>
      <w:r w:rsidRPr="005D7987">
        <w:rPr>
          <w:rFonts w:ascii="Times New Roman" w:hAnsi="Times New Roman"/>
          <w:noProof/>
          <w:szCs w:val="24"/>
        </w:rPr>
        <w:t xml:space="preserve">I </w:t>
      </w:r>
      <w:r w:rsidRPr="005D7987">
        <w:rPr>
          <w:rFonts w:ascii="Times New Roman" w:hAnsi="Times New Roman" w:hint="eastAsia"/>
          <w:noProof/>
          <w:szCs w:val="24"/>
        </w:rPr>
        <w:t>–</w:t>
      </w:r>
      <w:r w:rsidRPr="005D7987">
        <w:rPr>
          <w:rFonts w:ascii="Times New Roman" w:hAnsi="Times New Roman"/>
          <w:noProof/>
          <w:szCs w:val="24"/>
        </w:rPr>
        <w:t xml:space="preserve">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E3807" w:rsidRPr="0016702E" w14:paraId="3A0D011F" w14:textId="77777777" w:rsidTr="00A27FDF">
        <w:tc>
          <w:tcPr>
            <w:tcW w:w="8238" w:type="dxa"/>
            <w:shd w:val="clear" w:color="auto" w:fill="auto"/>
          </w:tcPr>
          <w:p w14:paraId="69AF15EB" w14:textId="77777777" w:rsidR="005E3807" w:rsidRPr="005D7987" w:rsidRDefault="005E3807" w:rsidP="002F495A">
            <w:pPr>
              <w:numPr>
                <w:ilvl w:val="0"/>
                <w:numId w:val="14"/>
              </w:numPr>
              <w:spacing w:before="40" w:after="40"/>
              <w:jc w:val="both"/>
              <w:rPr>
                <w:noProof/>
              </w:rPr>
            </w:pPr>
            <w:r w:rsidRPr="005D7987">
              <w:rPr>
                <w:noProof/>
              </w:rPr>
              <w:t xml:space="preserve"> declares that the above-mentioned person is in one of the following situations:</w:t>
            </w:r>
          </w:p>
        </w:tc>
        <w:tc>
          <w:tcPr>
            <w:tcW w:w="812" w:type="dxa"/>
            <w:shd w:val="clear" w:color="auto" w:fill="auto"/>
          </w:tcPr>
          <w:p w14:paraId="7CE8BEA5" w14:textId="77777777" w:rsidR="005E3807" w:rsidRPr="005D7987" w:rsidRDefault="005E3807" w:rsidP="00A27FDF">
            <w:pPr>
              <w:spacing w:before="40" w:after="40"/>
              <w:ind w:left="142"/>
              <w:jc w:val="both"/>
              <w:rPr>
                <w:noProof/>
              </w:rPr>
            </w:pPr>
            <w:r w:rsidRPr="005D7987">
              <w:rPr>
                <w:noProof/>
              </w:rPr>
              <w:t>YES</w:t>
            </w:r>
          </w:p>
        </w:tc>
        <w:tc>
          <w:tcPr>
            <w:tcW w:w="705" w:type="dxa"/>
            <w:shd w:val="clear" w:color="auto" w:fill="auto"/>
          </w:tcPr>
          <w:p w14:paraId="07E6BDD3" w14:textId="77777777" w:rsidR="005E3807" w:rsidRPr="005D7987" w:rsidRDefault="005E3807" w:rsidP="00A27FDF">
            <w:pPr>
              <w:spacing w:before="40" w:after="40"/>
              <w:ind w:left="142"/>
              <w:jc w:val="both"/>
              <w:rPr>
                <w:noProof/>
              </w:rPr>
            </w:pPr>
            <w:r w:rsidRPr="005D7987">
              <w:rPr>
                <w:noProof/>
              </w:rPr>
              <w:t>NO</w:t>
            </w:r>
          </w:p>
        </w:tc>
      </w:tr>
      <w:tr w:rsidR="005E3807" w:rsidRPr="0016702E" w14:paraId="5CDAE928" w14:textId="77777777" w:rsidTr="00A27FDF">
        <w:tc>
          <w:tcPr>
            <w:tcW w:w="8238" w:type="dxa"/>
            <w:shd w:val="clear" w:color="auto" w:fill="auto"/>
          </w:tcPr>
          <w:p w14:paraId="1FF0E851" w14:textId="77777777" w:rsidR="005E3807" w:rsidRPr="005D7987" w:rsidRDefault="005E3807" w:rsidP="00E748DE">
            <w:pPr>
              <w:pStyle w:val="Text1"/>
              <w:numPr>
                <w:ilvl w:val="0"/>
                <w:numId w:val="13"/>
              </w:numPr>
              <w:spacing w:before="40" w:after="40"/>
              <w:rPr>
                <w:noProof/>
                <w:szCs w:val="24"/>
              </w:rPr>
            </w:pPr>
            <w:r w:rsidRPr="005D7987">
              <w:rPr>
                <w:noProof/>
                <w:szCs w:val="24"/>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sidR="00E748DE" w:rsidRPr="005D7987">
              <w:rPr>
                <w:noProof/>
                <w:szCs w:val="24"/>
              </w:rPr>
              <w:t xml:space="preserve">Union or </w:t>
            </w:r>
            <w:r w:rsidRPr="005D7987">
              <w:rPr>
                <w:noProof/>
                <w:szCs w:val="24"/>
              </w:rPr>
              <w:t xml:space="preserve">national </w:t>
            </w:r>
            <w:r w:rsidR="00E748DE" w:rsidRPr="005D7987">
              <w:rPr>
                <w:noProof/>
                <w:szCs w:val="24"/>
              </w:rPr>
              <w:t>law</w:t>
            </w:r>
            <w:r w:rsidRPr="005D7987">
              <w:rPr>
                <w:noProof/>
                <w:szCs w:val="24"/>
              </w:rPr>
              <w:t>;</w:t>
            </w:r>
          </w:p>
        </w:tc>
        <w:tc>
          <w:tcPr>
            <w:tcW w:w="812" w:type="dxa"/>
            <w:shd w:val="clear" w:color="auto" w:fill="auto"/>
          </w:tcPr>
          <w:p w14:paraId="780D2E09" w14:textId="77777777" w:rsidR="005E3807" w:rsidRPr="005D7987" w:rsidRDefault="005E3807" w:rsidP="00A27FDF">
            <w:pPr>
              <w:spacing w:before="240" w:after="120"/>
              <w:jc w:val="both"/>
              <w:rPr>
                <w:noProof/>
              </w:rPr>
            </w:pPr>
            <w:r w:rsidRPr="005D7987">
              <w:rPr>
                <w:noProof/>
              </w:rPr>
              <w:fldChar w:fldCharType="begin">
                <w:ffData>
                  <w:name w:val=""/>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2CABFB7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4E995C01" w14:textId="77777777" w:rsidTr="00A27FDF">
        <w:tc>
          <w:tcPr>
            <w:tcW w:w="8238" w:type="dxa"/>
            <w:shd w:val="clear" w:color="auto" w:fill="auto"/>
          </w:tcPr>
          <w:p w14:paraId="552F9712" w14:textId="77777777" w:rsidR="005E3807" w:rsidRPr="005D7987" w:rsidRDefault="005E3807" w:rsidP="00A55867">
            <w:pPr>
              <w:pStyle w:val="Text1"/>
              <w:numPr>
                <w:ilvl w:val="0"/>
                <w:numId w:val="13"/>
              </w:numPr>
              <w:spacing w:before="40" w:after="40"/>
              <w:rPr>
                <w:noProof/>
                <w:szCs w:val="24"/>
              </w:rPr>
            </w:pPr>
            <w:r w:rsidRPr="005D7987">
              <w:rPr>
                <w:noProof/>
                <w:szCs w:val="24"/>
              </w:rPr>
              <w:t>it has been established by a final judgement or a final administrative decision that the person is in breach of its obligations relating to the payment of taxes or social security contributions in accordance with the</w:t>
            </w:r>
            <w:r w:rsidR="00A55867" w:rsidRPr="005D7987">
              <w:rPr>
                <w:noProof/>
                <w:szCs w:val="24"/>
              </w:rPr>
              <w:t xml:space="preserve">applicable law </w:t>
            </w:r>
            <w:r w:rsidRPr="005D7987">
              <w:rPr>
                <w:noProof/>
                <w:szCs w:val="24"/>
              </w:rPr>
              <w:t>;</w:t>
            </w:r>
          </w:p>
        </w:tc>
        <w:tc>
          <w:tcPr>
            <w:tcW w:w="812" w:type="dxa"/>
            <w:shd w:val="clear" w:color="auto" w:fill="auto"/>
          </w:tcPr>
          <w:p w14:paraId="1DC36AD4"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bookmarkStart w:id="1" w:name="Check1"/>
            <w:r w:rsidRPr="005D7987">
              <w:rPr>
                <w:noProof/>
              </w:rPr>
              <w:instrText xml:space="preserve"> FORMCHECKBOX </w:instrText>
            </w:r>
            <w:r w:rsidR="00BB5014">
              <w:rPr>
                <w:noProof/>
              </w:rPr>
            </w:r>
            <w:r w:rsidR="00BB5014">
              <w:rPr>
                <w:noProof/>
              </w:rPr>
              <w:fldChar w:fldCharType="separate"/>
            </w:r>
            <w:r w:rsidRPr="005D7987">
              <w:rPr>
                <w:noProof/>
              </w:rPr>
              <w:fldChar w:fldCharType="end"/>
            </w:r>
            <w:bookmarkEnd w:id="1"/>
          </w:p>
        </w:tc>
        <w:tc>
          <w:tcPr>
            <w:tcW w:w="705" w:type="dxa"/>
            <w:shd w:val="clear" w:color="auto" w:fill="auto"/>
          </w:tcPr>
          <w:p w14:paraId="6CE5FFF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40C2558B" w14:textId="77777777" w:rsidTr="00A27FDF">
        <w:tc>
          <w:tcPr>
            <w:tcW w:w="8238" w:type="dxa"/>
            <w:shd w:val="clear" w:color="auto" w:fill="auto"/>
          </w:tcPr>
          <w:p w14:paraId="6C6B71E5" w14:textId="77777777" w:rsidR="005E3807" w:rsidRPr="005D7987" w:rsidRDefault="005E3807" w:rsidP="002F495A">
            <w:pPr>
              <w:pStyle w:val="Text1"/>
              <w:numPr>
                <w:ilvl w:val="0"/>
                <w:numId w:val="13"/>
              </w:numPr>
              <w:spacing w:before="40" w:after="40"/>
              <w:rPr>
                <w:noProof/>
                <w:szCs w:val="24"/>
              </w:rPr>
            </w:pPr>
            <w:r w:rsidRPr="005D7987">
              <w:rPr>
                <w:noProof/>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0FD4EBB" w14:textId="77777777" w:rsidR="005E3807" w:rsidRPr="005D7987" w:rsidRDefault="005E3807" w:rsidP="00A27FDF">
            <w:pPr>
              <w:spacing w:before="240" w:after="120"/>
              <w:jc w:val="both"/>
              <w:rPr>
                <w:noProof/>
              </w:rPr>
            </w:pPr>
          </w:p>
        </w:tc>
      </w:tr>
      <w:tr w:rsidR="005E3807" w:rsidRPr="0016702E" w14:paraId="4BFBA3BE" w14:textId="77777777" w:rsidTr="00A27FDF">
        <w:tc>
          <w:tcPr>
            <w:tcW w:w="8238" w:type="dxa"/>
            <w:shd w:val="clear" w:color="auto" w:fill="auto"/>
          </w:tcPr>
          <w:p w14:paraId="7A5887D7" w14:textId="77777777" w:rsidR="005E3807" w:rsidRPr="005D7987" w:rsidRDefault="005E3807" w:rsidP="00E748DE">
            <w:pPr>
              <w:pStyle w:val="Text1"/>
              <w:spacing w:before="40" w:after="40"/>
              <w:ind w:left="709"/>
              <w:rPr>
                <w:noProof/>
                <w:szCs w:val="24"/>
              </w:rPr>
            </w:pPr>
            <w:r w:rsidRPr="005D7987">
              <w:rPr>
                <w:color w:val="000000"/>
                <w:szCs w:val="24"/>
              </w:rPr>
              <w:lastRenderedPageBreak/>
              <w:t xml:space="preserve">(i) fraudulently or negligently misrepresenting information required for the verification of the absence of grounds for exclusion or the fulfilment of selection criteria or in the performance of </w:t>
            </w:r>
            <w:r w:rsidR="00E748DE" w:rsidRPr="005D7987">
              <w:rPr>
                <w:color w:val="000000"/>
                <w:szCs w:val="24"/>
              </w:rPr>
              <w:t xml:space="preserve">the legal </w:t>
            </w:r>
            <w:r w:rsidR="0062724B" w:rsidRPr="005D7987">
              <w:rPr>
                <w:color w:val="000000"/>
                <w:szCs w:val="24"/>
              </w:rPr>
              <w:t>commitment</w:t>
            </w:r>
          </w:p>
        </w:tc>
        <w:tc>
          <w:tcPr>
            <w:tcW w:w="812" w:type="dxa"/>
            <w:shd w:val="clear" w:color="auto" w:fill="auto"/>
          </w:tcPr>
          <w:p w14:paraId="316034D9"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52D8387B"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671C72F6" w14:textId="77777777" w:rsidTr="00A27FDF">
        <w:tc>
          <w:tcPr>
            <w:tcW w:w="8238" w:type="dxa"/>
            <w:shd w:val="clear" w:color="auto" w:fill="auto"/>
          </w:tcPr>
          <w:p w14:paraId="0FC5A0CB" w14:textId="77777777" w:rsidR="005E3807" w:rsidRPr="005D7987" w:rsidRDefault="005E3807" w:rsidP="00A27FDF">
            <w:pPr>
              <w:pStyle w:val="Text1"/>
              <w:spacing w:before="40" w:after="40"/>
              <w:ind w:left="709"/>
              <w:rPr>
                <w:noProof/>
                <w:szCs w:val="24"/>
              </w:rPr>
            </w:pPr>
            <w:r w:rsidRPr="005D7987">
              <w:rPr>
                <w:color w:val="000000"/>
                <w:szCs w:val="24"/>
              </w:rPr>
              <w:t xml:space="preserve">(ii) entering into agreement with other persons </w:t>
            </w:r>
            <w:r w:rsidR="00E748DE" w:rsidRPr="005D7987">
              <w:rPr>
                <w:color w:val="000000"/>
                <w:szCs w:val="24"/>
              </w:rPr>
              <w:t xml:space="preserve">or entities </w:t>
            </w:r>
            <w:r w:rsidRPr="005D7987">
              <w:rPr>
                <w:color w:val="000000"/>
                <w:szCs w:val="24"/>
              </w:rPr>
              <w:t>with the aim of distorting competition;</w:t>
            </w:r>
          </w:p>
        </w:tc>
        <w:tc>
          <w:tcPr>
            <w:tcW w:w="812" w:type="dxa"/>
            <w:shd w:val="clear" w:color="auto" w:fill="auto"/>
          </w:tcPr>
          <w:p w14:paraId="2BB64D63"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0BC386F1"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26EC6202" w14:textId="77777777" w:rsidTr="00A27FDF">
        <w:tc>
          <w:tcPr>
            <w:tcW w:w="8238" w:type="dxa"/>
            <w:shd w:val="clear" w:color="auto" w:fill="auto"/>
          </w:tcPr>
          <w:p w14:paraId="49733609" w14:textId="77777777" w:rsidR="005E3807" w:rsidRPr="005D7987" w:rsidRDefault="005E3807" w:rsidP="00A27FDF">
            <w:pPr>
              <w:pStyle w:val="Text1"/>
              <w:spacing w:before="40" w:after="40"/>
              <w:ind w:left="709"/>
              <w:rPr>
                <w:noProof/>
                <w:szCs w:val="24"/>
              </w:rPr>
            </w:pPr>
            <w:r w:rsidRPr="005D7987">
              <w:rPr>
                <w:color w:val="000000"/>
                <w:szCs w:val="24"/>
              </w:rPr>
              <w:t>(iii) violating intellectual property rights;</w:t>
            </w:r>
          </w:p>
        </w:tc>
        <w:tc>
          <w:tcPr>
            <w:tcW w:w="812" w:type="dxa"/>
            <w:shd w:val="clear" w:color="auto" w:fill="auto"/>
          </w:tcPr>
          <w:p w14:paraId="63ECDBF9"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10BFBE1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02270A61" w14:textId="77777777" w:rsidTr="00A27FDF">
        <w:tc>
          <w:tcPr>
            <w:tcW w:w="8238" w:type="dxa"/>
            <w:shd w:val="clear" w:color="auto" w:fill="auto"/>
          </w:tcPr>
          <w:p w14:paraId="55789E8C" w14:textId="77777777" w:rsidR="005E3807" w:rsidRPr="005D7987" w:rsidRDefault="005E3807" w:rsidP="00E748DE">
            <w:pPr>
              <w:pStyle w:val="Text1"/>
              <w:spacing w:before="40" w:after="40"/>
              <w:ind w:left="709"/>
              <w:rPr>
                <w:noProof/>
                <w:szCs w:val="24"/>
              </w:rPr>
            </w:pPr>
            <w:r w:rsidRPr="005D7987">
              <w:rPr>
                <w:color w:val="000000"/>
                <w:szCs w:val="24"/>
              </w:rPr>
              <w:t xml:space="preserve">(iv) attempting to influence the decision-making </w:t>
            </w:r>
            <w:r w:rsidR="00340EE0" w:rsidRPr="005D7987">
              <w:rPr>
                <w:color w:val="000000"/>
                <w:szCs w:val="24"/>
              </w:rPr>
              <w:t xml:space="preserve">of the </w:t>
            </w:r>
            <w:r w:rsidRPr="005D7987">
              <w:rPr>
                <w:color w:val="000000"/>
                <w:szCs w:val="24"/>
              </w:rPr>
              <w:t>authori</w:t>
            </w:r>
            <w:r w:rsidR="00E748DE" w:rsidRPr="005D7987">
              <w:rPr>
                <w:color w:val="000000"/>
                <w:szCs w:val="24"/>
              </w:rPr>
              <w:t>sing officer</w:t>
            </w:r>
            <w:r w:rsidRPr="005D7987">
              <w:rPr>
                <w:color w:val="000000"/>
                <w:szCs w:val="24"/>
              </w:rPr>
              <w:t xml:space="preserve"> during the award procedure;</w:t>
            </w:r>
          </w:p>
        </w:tc>
        <w:tc>
          <w:tcPr>
            <w:tcW w:w="812" w:type="dxa"/>
            <w:shd w:val="clear" w:color="auto" w:fill="auto"/>
          </w:tcPr>
          <w:p w14:paraId="0F674711"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081E015D"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076A85A9" w14:textId="77777777" w:rsidTr="00A27FDF">
        <w:tc>
          <w:tcPr>
            <w:tcW w:w="8238" w:type="dxa"/>
            <w:shd w:val="clear" w:color="auto" w:fill="auto"/>
          </w:tcPr>
          <w:p w14:paraId="2EC5EA8E" w14:textId="77777777" w:rsidR="005E3807" w:rsidRPr="005D7987" w:rsidRDefault="005E3807" w:rsidP="00A27FDF">
            <w:pPr>
              <w:pStyle w:val="Text1"/>
              <w:spacing w:before="40" w:after="40"/>
              <w:ind w:left="709"/>
              <w:rPr>
                <w:color w:val="000000"/>
                <w:szCs w:val="24"/>
              </w:rPr>
            </w:pPr>
            <w:r w:rsidRPr="005D7987">
              <w:rPr>
                <w:color w:val="000000"/>
                <w:szCs w:val="24"/>
              </w:rPr>
              <w:t>(v) attempting to obtain confidential information that may confer upon it undue advantages in the award procedure</w:t>
            </w:r>
            <w:r w:rsidRPr="005D7987">
              <w:rPr>
                <w:b/>
                <w:i/>
                <w:color w:val="000000"/>
                <w:szCs w:val="24"/>
              </w:rPr>
              <w:t xml:space="preserve">; </w:t>
            </w:r>
          </w:p>
        </w:tc>
        <w:tc>
          <w:tcPr>
            <w:tcW w:w="812" w:type="dxa"/>
            <w:shd w:val="clear" w:color="auto" w:fill="auto"/>
          </w:tcPr>
          <w:p w14:paraId="79C40FB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719BF74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69BD6119" w14:textId="77777777" w:rsidTr="00A27FDF">
        <w:tc>
          <w:tcPr>
            <w:tcW w:w="8238" w:type="dxa"/>
            <w:shd w:val="clear" w:color="auto" w:fill="auto"/>
          </w:tcPr>
          <w:p w14:paraId="1C966BA7" w14:textId="77777777" w:rsidR="005E3807" w:rsidRPr="005D7987" w:rsidRDefault="005E3807" w:rsidP="002F495A">
            <w:pPr>
              <w:pStyle w:val="Text1"/>
              <w:numPr>
                <w:ilvl w:val="0"/>
                <w:numId w:val="13"/>
              </w:numPr>
              <w:spacing w:before="40" w:after="40"/>
              <w:ind w:left="357" w:hanging="357"/>
              <w:rPr>
                <w:color w:val="000000"/>
                <w:szCs w:val="24"/>
              </w:rPr>
            </w:pPr>
            <w:r w:rsidRPr="005D7987">
              <w:rPr>
                <w:noProof/>
                <w:szCs w:val="24"/>
              </w:rPr>
              <w:t xml:space="preserve">it has been established by a final judgement that the person </w:t>
            </w:r>
            <w:r w:rsidR="00E748DE" w:rsidRPr="005D7987">
              <w:rPr>
                <w:noProof/>
                <w:szCs w:val="24"/>
              </w:rPr>
              <w:t xml:space="preserve">or entity </w:t>
            </w:r>
            <w:r w:rsidRPr="005D7987">
              <w:rPr>
                <w:noProof/>
                <w:szCs w:val="24"/>
              </w:rPr>
              <w:t>is guilty of the following:</w:t>
            </w:r>
          </w:p>
        </w:tc>
        <w:tc>
          <w:tcPr>
            <w:tcW w:w="1517" w:type="dxa"/>
            <w:gridSpan w:val="2"/>
            <w:shd w:val="clear" w:color="auto" w:fill="auto"/>
          </w:tcPr>
          <w:p w14:paraId="51ACB58A" w14:textId="77777777" w:rsidR="005E3807" w:rsidRPr="005D7987" w:rsidRDefault="005E3807" w:rsidP="00A27FDF">
            <w:pPr>
              <w:spacing w:before="240" w:after="120"/>
              <w:jc w:val="both"/>
              <w:rPr>
                <w:noProof/>
              </w:rPr>
            </w:pPr>
          </w:p>
        </w:tc>
      </w:tr>
      <w:tr w:rsidR="005E3807" w:rsidRPr="0016702E" w14:paraId="6627F5CC" w14:textId="77777777" w:rsidTr="00A27FDF">
        <w:tc>
          <w:tcPr>
            <w:tcW w:w="8238" w:type="dxa"/>
            <w:shd w:val="clear" w:color="auto" w:fill="auto"/>
          </w:tcPr>
          <w:p w14:paraId="2142E07D" w14:textId="77777777" w:rsidR="005E3807" w:rsidRPr="005D7987" w:rsidRDefault="005E3807" w:rsidP="00A27FDF">
            <w:pPr>
              <w:pStyle w:val="Text1"/>
              <w:spacing w:before="40" w:after="40"/>
              <w:ind w:left="709"/>
              <w:rPr>
                <w:noProof/>
                <w:szCs w:val="24"/>
              </w:rPr>
            </w:pPr>
            <w:r w:rsidRPr="005D7987">
              <w:rPr>
                <w:color w:val="000000"/>
                <w:szCs w:val="24"/>
              </w:rPr>
              <w:t xml:space="preserve">(i) fraud, within the meaning of </w:t>
            </w:r>
            <w:r w:rsidR="00A55867" w:rsidRPr="005D7987">
              <w:rPr>
                <w:color w:val="000000"/>
                <w:szCs w:val="24"/>
              </w:rPr>
              <w:t xml:space="preserve">Article 3 of Directive (EU) 2017/1371 and </w:t>
            </w:r>
            <w:r w:rsidRPr="005D7987">
              <w:rPr>
                <w:color w:val="000000"/>
                <w:szCs w:val="24"/>
              </w:rPr>
              <w:t>Article 1 of the Convention on the protection of the European Communities' financial interests, drawn up by the Council Act of 26 July 1995;</w:t>
            </w:r>
          </w:p>
        </w:tc>
        <w:tc>
          <w:tcPr>
            <w:tcW w:w="812" w:type="dxa"/>
            <w:shd w:val="clear" w:color="auto" w:fill="auto"/>
          </w:tcPr>
          <w:p w14:paraId="1DAADE2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3F1A11C1"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4E11CC12" w14:textId="77777777" w:rsidTr="00A27FDF">
        <w:tc>
          <w:tcPr>
            <w:tcW w:w="8238" w:type="dxa"/>
            <w:shd w:val="clear" w:color="auto" w:fill="auto"/>
          </w:tcPr>
          <w:p w14:paraId="260D8766" w14:textId="77777777" w:rsidR="005E3807" w:rsidRPr="005D7987" w:rsidRDefault="005E3807" w:rsidP="00A27FDF">
            <w:pPr>
              <w:pStyle w:val="Text1"/>
              <w:spacing w:before="40" w:after="40"/>
              <w:ind w:left="709"/>
              <w:rPr>
                <w:noProof/>
                <w:szCs w:val="24"/>
              </w:rPr>
            </w:pPr>
            <w:r w:rsidRPr="005D7987">
              <w:rPr>
                <w:color w:val="000000"/>
                <w:szCs w:val="24"/>
              </w:rPr>
              <w:t xml:space="preserve">(ii) corruption, as defined in </w:t>
            </w:r>
            <w:r w:rsidR="00A55867" w:rsidRPr="005D7987">
              <w:rPr>
                <w:color w:val="000000"/>
                <w:szCs w:val="24"/>
              </w:rPr>
              <w:t xml:space="preserve">Article 4(2) of Directive (EU) 2017/1371 and </w:t>
            </w:r>
            <w:r w:rsidRPr="005D7987">
              <w:rPr>
                <w:color w:val="000000"/>
                <w:szCs w:val="24"/>
              </w:rPr>
              <w:t>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14:paraId="70102A4B"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3733821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10083AF0" w14:textId="77777777" w:rsidTr="00A27FDF">
        <w:tc>
          <w:tcPr>
            <w:tcW w:w="8238" w:type="dxa"/>
            <w:shd w:val="clear" w:color="auto" w:fill="auto"/>
          </w:tcPr>
          <w:p w14:paraId="1BCEBF15" w14:textId="77777777" w:rsidR="005E3807" w:rsidRPr="005D7987" w:rsidRDefault="005E3807" w:rsidP="00A27FDF">
            <w:pPr>
              <w:pStyle w:val="Text1"/>
              <w:spacing w:before="40" w:after="40"/>
              <w:ind w:left="709"/>
              <w:rPr>
                <w:noProof/>
                <w:szCs w:val="24"/>
              </w:rPr>
            </w:pPr>
            <w:r w:rsidRPr="005D7987">
              <w:rPr>
                <w:color w:val="000000"/>
                <w:szCs w:val="24"/>
              </w:rPr>
              <w:t xml:space="preserve">(iii) </w:t>
            </w:r>
            <w:r w:rsidR="00A55867" w:rsidRPr="005D7987">
              <w:rPr>
                <w:color w:val="000000"/>
                <w:szCs w:val="24"/>
              </w:rPr>
              <w:t xml:space="preserve">conduct related to </w:t>
            </w:r>
            <w:r w:rsidRPr="005D7987">
              <w:rPr>
                <w:color w:val="000000"/>
                <w:szCs w:val="24"/>
              </w:rPr>
              <w:t xml:space="preserve"> a criminal organisation, as defined in Article 2 of Council Framework Decision 2008/841/JHA;</w:t>
            </w:r>
          </w:p>
        </w:tc>
        <w:tc>
          <w:tcPr>
            <w:tcW w:w="812" w:type="dxa"/>
            <w:shd w:val="clear" w:color="auto" w:fill="auto"/>
          </w:tcPr>
          <w:p w14:paraId="65855BB9"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481CB2E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78E7980F" w14:textId="77777777" w:rsidTr="00A27FDF">
        <w:tc>
          <w:tcPr>
            <w:tcW w:w="8238" w:type="dxa"/>
            <w:shd w:val="clear" w:color="auto" w:fill="auto"/>
          </w:tcPr>
          <w:p w14:paraId="26C9B5B2" w14:textId="77777777" w:rsidR="005E3807" w:rsidRPr="005D7987" w:rsidRDefault="005E3807" w:rsidP="00A55867">
            <w:pPr>
              <w:pStyle w:val="Text1"/>
              <w:spacing w:before="40" w:after="40"/>
              <w:ind w:left="709"/>
              <w:rPr>
                <w:noProof/>
                <w:szCs w:val="24"/>
              </w:rPr>
            </w:pPr>
            <w:r w:rsidRPr="005D7987">
              <w:rPr>
                <w:color w:val="000000"/>
                <w:szCs w:val="24"/>
              </w:rPr>
              <w:t xml:space="preserve">(iv) </w:t>
            </w:r>
            <w:r w:rsidRPr="005D7987">
              <w:rPr>
                <w:bCs/>
                <w:iCs/>
                <w:szCs w:val="24"/>
              </w:rPr>
              <w:t>money laundering</w:t>
            </w:r>
            <w:r w:rsidRPr="005D7987">
              <w:rPr>
                <w:color w:val="000000"/>
                <w:szCs w:val="24"/>
              </w:rPr>
              <w:t xml:space="preserve"> or</w:t>
            </w:r>
            <w:r w:rsidRPr="005D7987">
              <w:rPr>
                <w:bCs/>
                <w:iCs/>
                <w:szCs w:val="24"/>
              </w:rPr>
              <w:t xml:space="preserve"> terrorist financing,</w:t>
            </w:r>
            <w:r w:rsidRPr="005D7987">
              <w:rPr>
                <w:szCs w:val="24"/>
              </w:rPr>
              <w:t xml:space="preserve"> </w:t>
            </w:r>
            <w:r w:rsidR="00A55867" w:rsidRPr="005D7987">
              <w:rPr>
                <w:szCs w:val="24"/>
              </w:rPr>
              <w:t>within the meaning of</w:t>
            </w:r>
            <w:r w:rsidRPr="005D7987">
              <w:rPr>
                <w:color w:val="000000"/>
                <w:szCs w:val="24"/>
              </w:rPr>
              <w:t xml:space="preserve"> Article 1</w:t>
            </w:r>
            <w:r w:rsidR="00A55867" w:rsidRPr="005D7987">
              <w:rPr>
                <w:color w:val="000000"/>
                <w:szCs w:val="24"/>
              </w:rPr>
              <w:t>(3), (4) and (5) of Directive (EU) 2015/849 of the European Parliament and of the Council</w:t>
            </w:r>
            <w:r w:rsidR="00A55867" w:rsidRPr="005D7987" w:rsidDel="00A55867">
              <w:rPr>
                <w:color w:val="000000"/>
                <w:szCs w:val="24"/>
              </w:rPr>
              <w:t xml:space="preserve"> </w:t>
            </w:r>
            <w:r w:rsidRPr="005D7987">
              <w:rPr>
                <w:color w:val="000000"/>
                <w:szCs w:val="24"/>
              </w:rPr>
              <w:t>;</w:t>
            </w:r>
          </w:p>
        </w:tc>
        <w:tc>
          <w:tcPr>
            <w:tcW w:w="812" w:type="dxa"/>
            <w:shd w:val="clear" w:color="auto" w:fill="auto"/>
          </w:tcPr>
          <w:p w14:paraId="234C4376"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3FC4B88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70901F48" w14:textId="77777777" w:rsidTr="00A27FDF">
        <w:tc>
          <w:tcPr>
            <w:tcW w:w="8238" w:type="dxa"/>
            <w:shd w:val="clear" w:color="auto" w:fill="auto"/>
          </w:tcPr>
          <w:p w14:paraId="67C17E2B" w14:textId="77777777" w:rsidR="005E3807" w:rsidRPr="005D7987" w:rsidRDefault="005E3807" w:rsidP="00A27FDF">
            <w:pPr>
              <w:pStyle w:val="Text1"/>
              <w:spacing w:before="40" w:after="40"/>
              <w:ind w:left="709"/>
              <w:rPr>
                <w:noProof/>
                <w:szCs w:val="24"/>
              </w:rPr>
            </w:pPr>
            <w:r w:rsidRPr="005D7987">
              <w:rPr>
                <w:color w:val="000000"/>
                <w:szCs w:val="24"/>
              </w:rPr>
              <w:t xml:space="preserve">(v) </w:t>
            </w:r>
            <w:r w:rsidRPr="005D7987">
              <w:rPr>
                <w:bCs/>
                <w:iCs/>
                <w:szCs w:val="24"/>
              </w:rPr>
              <w:t>terrorist-related offences</w:t>
            </w:r>
            <w:r w:rsidRPr="005D7987">
              <w:rPr>
                <w:color w:val="000000"/>
                <w:szCs w:val="24"/>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0512283E"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249E863A"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1BB8CBBA" w14:textId="77777777" w:rsidTr="00A27FDF">
        <w:tc>
          <w:tcPr>
            <w:tcW w:w="8238" w:type="dxa"/>
            <w:shd w:val="clear" w:color="auto" w:fill="auto"/>
          </w:tcPr>
          <w:p w14:paraId="640D008B" w14:textId="77777777" w:rsidR="005E3807" w:rsidRPr="005D7987" w:rsidRDefault="005E3807" w:rsidP="00A27FDF">
            <w:pPr>
              <w:pStyle w:val="Text1"/>
              <w:spacing w:before="40" w:after="40"/>
              <w:ind w:left="709"/>
              <w:rPr>
                <w:color w:val="000000"/>
                <w:szCs w:val="24"/>
              </w:rPr>
            </w:pPr>
            <w:r w:rsidRPr="005D7987">
              <w:rPr>
                <w:color w:val="000000"/>
                <w:szCs w:val="24"/>
              </w:rPr>
              <w:t xml:space="preserve">(vi) </w:t>
            </w:r>
            <w:r w:rsidRPr="005D7987">
              <w:rPr>
                <w:bCs/>
                <w:iCs/>
                <w:szCs w:val="24"/>
              </w:rPr>
              <w:t>child labour or other forms of trafficking in human beings</w:t>
            </w:r>
            <w:r w:rsidRPr="005D7987">
              <w:rPr>
                <w:szCs w:val="24"/>
              </w:rPr>
              <w:t xml:space="preserve"> </w:t>
            </w:r>
            <w:r w:rsidRPr="005D7987">
              <w:rPr>
                <w:color w:val="000000"/>
                <w:szCs w:val="24"/>
              </w:rPr>
              <w:t>as defined in Article 2 of Directive 2011/36/EU of the European Parliament and of the Council;</w:t>
            </w:r>
          </w:p>
        </w:tc>
        <w:tc>
          <w:tcPr>
            <w:tcW w:w="812" w:type="dxa"/>
            <w:shd w:val="clear" w:color="auto" w:fill="auto"/>
          </w:tcPr>
          <w:p w14:paraId="61DACA3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218C3ACF"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5CA9281A" w14:textId="77777777" w:rsidTr="00A27FDF">
        <w:tc>
          <w:tcPr>
            <w:tcW w:w="8238" w:type="dxa"/>
            <w:shd w:val="clear" w:color="auto" w:fill="auto"/>
          </w:tcPr>
          <w:p w14:paraId="1B6C5EB6" w14:textId="77777777" w:rsidR="005E3807" w:rsidRPr="005D7987" w:rsidRDefault="005E3807" w:rsidP="00E748DE">
            <w:pPr>
              <w:pStyle w:val="Text1"/>
              <w:numPr>
                <w:ilvl w:val="0"/>
                <w:numId w:val="13"/>
              </w:numPr>
              <w:spacing w:before="40" w:after="40"/>
              <w:rPr>
                <w:color w:val="000000"/>
                <w:szCs w:val="24"/>
              </w:rPr>
            </w:pPr>
            <w:r w:rsidRPr="005D7987">
              <w:rPr>
                <w:noProof/>
                <w:szCs w:val="24"/>
              </w:rPr>
              <w:t xml:space="preserve">the person has shown significant deficiencies in complying with the main obligations in the performance of a </w:t>
            </w:r>
            <w:r w:rsidR="00E748DE" w:rsidRPr="005D7987">
              <w:rPr>
                <w:noProof/>
                <w:szCs w:val="24"/>
              </w:rPr>
              <w:t xml:space="preserve">legal committment </w:t>
            </w:r>
            <w:r w:rsidR="00A55867" w:rsidRPr="005D7987">
              <w:rPr>
                <w:noProof/>
                <w:szCs w:val="24"/>
              </w:rPr>
              <w:t xml:space="preserve"> </w:t>
            </w:r>
            <w:r w:rsidRPr="005D7987">
              <w:rPr>
                <w:noProof/>
                <w:szCs w:val="24"/>
              </w:rPr>
              <w:t xml:space="preserve">financed by the budget, which has led to its early termination or to the application of liquidated damages or other contractual penalties, or which has been discovered following checks, audits or investigations by </w:t>
            </w:r>
            <w:r w:rsidR="00A55867" w:rsidRPr="005D7987">
              <w:rPr>
                <w:noProof/>
                <w:szCs w:val="24"/>
              </w:rPr>
              <w:t>a</w:t>
            </w:r>
            <w:r w:rsidR="00E748DE" w:rsidRPr="005D7987">
              <w:rPr>
                <w:noProof/>
                <w:szCs w:val="24"/>
              </w:rPr>
              <w:t>n authorising officer</w:t>
            </w:r>
            <w:r w:rsidR="00A55867" w:rsidRPr="005D7987">
              <w:rPr>
                <w:noProof/>
                <w:szCs w:val="24"/>
              </w:rPr>
              <w:t>, the European Anti-Fraud Office(</w:t>
            </w:r>
            <w:r w:rsidRPr="005D7987">
              <w:rPr>
                <w:noProof/>
                <w:szCs w:val="24"/>
              </w:rPr>
              <w:t>OLAF</w:t>
            </w:r>
            <w:r w:rsidR="00A55867" w:rsidRPr="005D7987">
              <w:rPr>
                <w:noProof/>
                <w:szCs w:val="24"/>
              </w:rPr>
              <w:t>)</w:t>
            </w:r>
            <w:r w:rsidRPr="005D7987">
              <w:rPr>
                <w:noProof/>
                <w:szCs w:val="24"/>
              </w:rPr>
              <w:t xml:space="preserve"> or the Court of Auditors; </w:t>
            </w:r>
          </w:p>
        </w:tc>
        <w:tc>
          <w:tcPr>
            <w:tcW w:w="812" w:type="dxa"/>
            <w:shd w:val="clear" w:color="auto" w:fill="auto"/>
          </w:tcPr>
          <w:p w14:paraId="277A322D"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15E3BBD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067DC466" w14:textId="77777777" w:rsidTr="00A27FDF">
        <w:tc>
          <w:tcPr>
            <w:tcW w:w="8238" w:type="dxa"/>
            <w:shd w:val="clear" w:color="auto" w:fill="auto"/>
          </w:tcPr>
          <w:p w14:paraId="60744BDA" w14:textId="77777777" w:rsidR="005E3807" w:rsidRPr="005D7987" w:rsidRDefault="005E3807" w:rsidP="002F495A">
            <w:pPr>
              <w:pStyle w:val="Text1"/>
              <w:numPr>
                <w:ilvl w:val="0"/>
                <w:numId w:val="13"/>
              </w:numPr>
              <w:spacing w:before="40" w:after="40"/>
              <w:rPr>
                <w:noProof/>
                <w:szCs w:val="24"/>
              </w:rPr>
            </w:pPr>
            <w:r w:rsidRPr="005D7987">
              <w:rPr>
                <w:color w:val="000000"/>
                <w:szCs w:val="24"/>
              </w:rPr>
              <w:t xml:space="preserve">it has been established by a final judgment or final administrative decision that the person </w:t>
            </w:r>
            <w:r w:rsidR="00E748DE" w:rsidRPr="005D7987">
              <w:rPr>
                <w:color w:val="000000"/>
                <w:szCs w:val="24"/>
              </w:rPr>
              <w:t xml:space="preserve">or entity </w:t>
            </w:r>
            <w:r w:rsidRPr="005D7987">
              <w:rPr>
                <w:color w:val="000000"/>
                <w:szCs w:val="24"/>
              </w:rPr>
              <w:t>has committed an irregularity within the meaning of Article 1(2) of Council Regulation (EC, Euratom) No 2988/95;</w:t>
            </w:r>
          </w:p>
        </w:tc>
        <w:tc>
          <w:tcPr>
            <w:tcW w:w="812" w:type="dxa"/>
            <w:shd w:val="clear" w:color="auto" w:fill="auto"/>
          </w:tcPr>
          <w:p w14:paraId="688EE54D"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4CFFA58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A55867" w:rsidRPr="0016702E" w14:paraId="5DB5C1B4" w14:textId="77777777" w:rsidTr="00A27FDF">
        <w:tc>
          <w:tcPr>
            <w:tcW w:w="8238" w:type="dxa"/>
            <w:shd w:val="clear" w:color="auto" w:fill="auto"/>
          </w:tcPr>
          <w:p w14:paraId="21E431CE" w14:textId="77777777" w:rsidR="00A55867" w:rsidRPr="005D7987" w:rsidRDefault="00A55867" w:rsidP="007F3722">
            <w:pPr>
              <w:pStyle w:val="Text1"/>
              <w:numPr>
                <w:ilvl w:val="0"/>
                <w:numId w:val="13"/>
              </w:numPr>
              <w:spacing w:before="40" w:after="40"/>
              <w:rPr>
                <w:color w:val="000000"/>
                <w:szCs w:val="24"/>
              </w:rPr>
            </w:pPr>
            <w:r w:rsidRPr="005D7987">
              <w:rPr>
                <w:color w:val="000000"/>
                <w:szCs w:val="24"/>
              </w:rPr>
              <w:t xml:space="preserve">it has been established by a final judgment or final administrative decision that the person has created an entity under a different jurisdiction with the intent to </w:t>
            </w:r>
            <w:r w:rsidRPr="005D7987">
              <w:rPr>
                <w:color w:val="000000"/>
                <w:szCs w:val="24"/>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4A5780E1" w14:textId="77777777" w:rsidR="00A55867" w:rsidRPr="005D7987" w:rsidRDefault="00A55867" w:rsidP="00A27FDF">
            <w:pPr>
              <w:spacing w:before="240" w:after="120"/>
              <w:jc w:val="both"/>
              <w:rPr>
                <w:noProof/>
              </w:rPr>
            </w:pPr>
            <w:r w:rsidRPr="005D7987">
              <w:rPr>
                <w:noProof/>
              </w:rPr>
              <w:lastRenderedPageBreak/>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19F817CD"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A55867" w:rsidRPr="0016702E" w14:paraId="14AC9C42" w14:textId="77777777" w:rsidTr="00A27FDF">
        <w:tc>
          <w:tcPr>
            <w:tcW w:w="8238" w:type="dxa"/>
            <w:shd w:val="clear" w:color="auto" w:fill="auto"/>
          </w:tcPr>
          <w:p w14:paraId="20D4F301" w14:textId="77777777" w:rsidR="00A55867" w:rsidRPr="005D7987" w:rsidRDefault="00A55867" w:rsidP="00E748DE">
            <w:pPr>
              <w:pStyle w:val="Text1"/>
              <w:numPr>
                <w:ilvl w:val="0"/>
                <w:numId w:val="13"/>
              </w:numPr>
              <w:spacing w:before="40" w:after="40"/>
              <w:rPr>
                <w:color w:val="000000"/>
                <w:szCs w:val="24"/>
              </w:rPr>
            </w:pPr>
            <w:r w:rsidRPr="005D7987">
              <w:rPr>
                <w:color w:val="000000"/>
                <w:szCs w:val="24"/>
              </w:rPr>
              <w:t>(only for legal persons) it has been established by a final judgment or final administrative decision that the person has been created with the intent provided for in point (g).</w:t>
            </w:r>
          </w:p>
        </w:tc>
        <w:tc>
          <w:tcPr>
            <w:tcW w:w="812" w:type="dxa"/>
            <w:shd w:val="clear" w:color="auto" w:fill="auto"/>
          </w:tcPr>
          <w:p w14:paraId="247B3453"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25930828"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517FAF0C" w14:textId="77777777" w:rsidTr="00A27FDF">
        <w:tc>
          <w:tcPr>
            <w:tcW w:w="8238" w:type="dxa"/>
            <w:shd w:val="clear" w:color="auto" w:fill="auto"/>
          </w:tcPr>
          <w:p w14:paraId="3CF34C85" w14:textId="77777777" w:rsidR="005E3807" w:rsidRPr="005D7987" w:rsidRDefault="007668C3" w:rsidP="00772303">
            <w:pPr>
              <w:pStyle w:val="Text1"/>
              <w:spacing w:before="40" w:after="40"/>
              <w:ind w:left="0"/>
              <w:rPr>
                <w:color w:val="000000"/>
                <w:szCs w:val="24"/>
              </w:rPr>
            </w:pPr>
            <w:r w:rsidRPr="005D7987">
              <w:rPr>
                <w:color w:val="000000"/>
                <w:szCs w:val="24"/>
              </w:rPr>
              <w:t xml:space="preserve">(i) </w:t>
            </w:r>
            <w:r w:rsidR="005E3807" w:rsidRPr="005D7987">
              <w:rPr>
                <w:color w:val="000000"/>
                <w:szCs w:val="24"/>
              </w:rPr>
              <w:t xml:space="preserve">for the situations </w:t>
            </w:r>
            <w:r w:rsidR="00A55867" w:rsidRPr="005D7987">
              <w:rPr>
                <w:color w:val="000000"/>
                <w:szCs w:val="24"/>
              </w:rPr>
              <w:t xml:space="preserve">referred to in points (c) to (h) above the person </w:t>
            </w:r>
            <w:r w:rsidR="005E3807" w:rsidRPr="005D7987">
              <w:rPr>
                <w:color w:val="000000"/>
                <w:szCs w:val="24"/>
              </w:rPr>
              <w:t>is subject to:</w:t>
            </w:r>
          </w:p>
          <w:p w14:paraId="5CCB5B2A" w14:textId="77777777" w:rsidR="005E3807" w:rsidRPr="005D7987" w:rsidRDefault="005E3807" w:rsidP="00A55867">
            <w:pPr>
              <w:pStyle w:val="Text1"/>
              <w:numPr>
                <w:ilvl w:val="0"/>
                <w:numId w:val="16"/>
              </w:numPr>
              <w:spacing w:before="40" w:after="40"/>
              <w:rPr>
                <w:color w:val="000000"/>
                <w:szCs w:val="24"/>
              </w:rPr>
            </w:pPr>
            <w:r w:rsidRPr="005D7987">
              <w:rPr>
                <w:color w:val="000000"/>
                <w:szCs w:val="24"/>
              </w:rPr>
              <w:t xml:space="preserve">facts established in the context of audits or investigations carried out by </w:t>
            </w:r>
            <w:r w:rsidR="00A55867" w:rsidRPr="005D7987">
              <w:rPr>
                <w:color w:val="000000"/>
                <w:szCs w:val="24"/>
              </w:rPr>
              <w:t xml:space="preserve">the European Public Prosecutor’s Office after its establishment, </w:t>
            </w:r>
            <w:r w:rsidRPr="005D7987">
              <w:rPr>
                <w:color w:val="000000"/>
                <w:szCs w:val="24"/>
              </w:rPr>
              <w:t xml:space="preserve">the Court of Auditors, </w:t>
            </w:r>
            <w:r w:rsidR="00A55867" w:rsidRPr="005D7987">
              <w:rPr>
                <w:color w:val="000000"/>
                <w:szCs w:val="24"/>
              </w:rPr>
              <w:t>the European Anti-Fraud Office (</w:t>
            </w:r>
            <w:r w:rsidRPr="005D7987">
              <w:rPr>
                <w:color w:val="000000"/>
                <w:szCs w:val="24"/>
              </w:rPr>
              <w:t>OLAF</w:t>
            </w:r>
            <w:r w:rsidR="00A55867" w:rsidRPr="005D7987">
              <w:rPr>
                <w:color w:val="000000"/>
                <w:szCs w:val="24"/>
              </w:rPr>
              <w:t>)</w:t>
            </w:r>
            <w:r w:rsidRPr="005D7987">
              <w:rPr>
                <w:color w:val="000000"/>
                <w:szCs w:val="24"/>
              </w:rPr>
              <w:t xml:space="preserve"> or internal audit, or any other check, audit or control performed under the responsibility of an authorising officer of an EU institution, of a European office or of an EU agency or body;</w:t>
            </w:r>
          </w:p>
          <w:p w14:paraId="007533BA" w14:textId="77777777" w:rsidR="005E3807" w:rsidRPr="005D7987" w:rsidRDefault="00027F1C" w:rsidP="002F495A">
            <w:pPr>
              <w:pStyle w:val="Text1"/>
              <w:numPr>
                <w:ilvl w:val="0"/>
                <w:numId w:val="16"/>
              </w:numPr>
              <w:spacing w:before="40" w:after="40"/>
              <w:ind w:left="709" w:firstLine="0"/>
              <w:rPr>
                <w:color w:val="000000"/>
                <w:szCs w:val="24"/>
              </w:rPr>
            </w:pPr>
            <w:r w:rsidRPr="005D7987">
              <w:rPr>
                <w:color w:val="000000"/>
                <w:szCs w:val="24"/>
              </w:rPr>
              <w:t xml:space="preserve">non-final judgements or </w:t>
            </w:r>
            <w:r w:rsidR="005E3807" w:rsidRPr="005D7987">
              <w:rPr>
                <w:color w:val="000000"/>
                <w:szCs w:val="24"/>
              </w:rPr>
              <w:t>non-final administrative decisions which may include disciplinary measures taken by the competent supervisory body responsible for the verification of the application of standards of professional ethics;</w:t>
            </w:r>
          </w:p>
          <w:p w14:paraId="2B4E1567" w14:textId="77777777" w:rsidR="00A55867" w:rsidRPr="005D7987" w:rsidRDefault="00A55867" w:rsidP="00A55867">
            <w:pPr>
              <w:pStyle w:val="ListParagraph"/>
              <w:numPr>
                <w:ilvl w:val="0"/>
                <w:numId w:val="16"/>
              </w:numPr>
              <w:rPr>
                <w:color w:val="000000"/>
              </w:rPr>
            </w:pPr>
            <w:r w:rsidRPr="005D7987">
              <w:rPr>
                <w:color w:val="000000"/>
              </w:rPr>
              <w:t>facts referred to in decisions of entities or persons being entrusted with EU budget implementation tasks;</w:t>
            </w:r>
          </w:p>
          <w:p w14:paraId="6D97D80C" w14:textId="77777777" w:rsidR="005E3807" w:rsidRPr="005D7987" w:rsidRDefault="00A55867" w:rsidP="00772303">
            <w:pPr>
              <w:pStyle w:val="ListParagraph"/>
              <w:numPr>
                <w:ilvl w:val="0"/>
                <w:numId w:val="16"/>
              </w:numPr>
              <w:rPr>
                <w:color w:val="000000"/>
              </w:rPr>
            </w:pPr>
            <w:r w:rsidRPr="005D7987">
              <w:rPr>
                <w:color w:val="000000"/>
              </w:rPr>
              <w:t>information transmitted by Member States implementing Union funds</w:t>
            </w:r>
          </w:p>
          <w:p w14:paraId="75484293" w14:textId="77777777" w:rsidR="005E3807" w:rsidRPr="005D7987" w:rsidRDefault="005E3807" w:rsidP="002F495A">
            <w:pPr>
              <w:pStyle w:val="Text1"/>
              <w:numPr>
                <w:ilvl w:val="0"/>
                <w:numId w:val="16"/>
              </w:numPr>
              <w:spacing w:before="40" w:after="40"/>
              <w:ind w:left="709" w:firstLine="0"/>
              <w:rPr>
                <w:color w:val="000000"/>
                <w:szCs w:val="24"/>
              </w:rPr>
            </w:pPr>
            <w:r w:rsidRPr="005D7987">
              <w:rPr>
                <w:color w:val="000000"/>
                <w:szCs w:val="24"/>
              </w:rPr>
              <w:t>decisions of the Commission relating to the infringement of the Union's competition rules or of a national competent authority relating to the infringement of Union or national competition law; or</w:t>
            </w:r>
          </w:p>
          <w:p w14:paraId="702EED85" w14:textId="77777777" w:rsidR="005E3807" w:rsidRPr="005D7987" w:rsidRDefault="005E3807" w:rsidP="002F495A">
            <w:pPr>
              <w:pStyle w:val="Text1"/>
              <w:numPr>
                <w:ilvl w:val="0"/>
                <w:numId w:val="16"/>
              </w:numPr>
              <w:spacing w:before="40" w:after="40"/>
              <w:ind w:left="709" w:firstLine="0"/>
              <w:rPr>
                <w:color w:val="000000"/>
                <w:szCs w:val="24"/>
              </w:rPr>
            </w:pPr>
            <w:r w:rsidRPr="005D7987">
              <w:rPr>
                <w:color w:val="000000"/>
                <w:szCs w:val="24"/>
              </w:rPr>
              <w:t xml:space="preserve">decisions of exclusion by an authorising officer of an EU institution, of a European office or of an EU agency or body. </w:t>
            </w:r>
          </w:p>
        </w:tc>
        <w:tc>
          <w:tcPr>
            <w:tcW w:w="812" w:type="dxa"/>
            <w:shd w:val="clear" w:color="auto" w:fill="auto"/>
          </w:tcPr>
          <w:p w14:paraId="535B0BB7"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705" w:type="dxa"/>
            <w:shd w:val="clear" w:color="auto" w:fill="auto"/>
          </w:tcPr>
          <w:p w14:paraId="66DD43D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2A6B3E72" w14:textId="77777777" w:rsidR="005E3807" w:rsidRPr="005D7987" w:rsidRDefault="005E3807" w:rsidP="005E3807">
      <w:pPr>
        <w:pStyle w:val="Title"/>
        <w:jc w:val="both"/>
        <w:rPr>
          <w:rFonts w:ascii="Times New Roman" w:hAnsi="Times New Roman"/>
          <w:b w:val="0"/>
          <w:smallCaps w:val="0"/>
          <w:szCs w:val="24"/>
        </w:rPr>
      </w:pPr>
      <w:r w:rsidRPr="005D7987">
        <w:rPr>
          <w:rFonts w:ascii="Times New Roman" w:hAnsi="Times New Roman"/>
          <w:szCs w:val="24"/>
        </w:rPr>
        <w:t xml:space="preserve">II </w:t>
      </w:r>
      <w:r w:rsidRPr="005D7987">
        <w:rPr>
          <w:rFonts w:ascii="Times New Roman" w:hAnsi="Times New Roman" w:hint="eastAsia"/>
          <w:szCs w:val="24"/>
        </w:rPr>
        <w:t>–</w:t>
      </w:r>
      <w:r w:rsidRPr="005D7987">
        <w:rPr>
          <w:rFonts w:ascii="Times New Roman" w:hAnsi="Times New Roman"/>
          <w:szCs w:val="24"/>
        </w:rPr>
        <w:t xml:space="preserve"> Situations of exclusion concerning natural or legal persons with power of representation, decision-making or control over the legal person</w:t>
      </w:r>
      <w:r w:rsidR="00A55867" w:rsidRPr="005D7987">
        <w:rPr>
          <w:rFonts w:ascii="Times New Roman" w:hAnsi="Times New Roman"/>
          <w:szCs w:val="24"/>
        </w:rPr>
        <w:t xml:space="preserve"> and beneficial owners</w:t>
      </w:r>
    </w:p>
    <w:p w14:paraId="6F476225" w14:textId="77777777" w:rsidR="005E3807" w:rsidRPr="005D7987" w:rsidRDefault="005E3807" w:rsidP="005E3807">
      <w:pPr>
        <w:autoSpaceDE w:val="0"/>
        <w:autoSpaceDN w:val="0"/>
        <w:adjustRightInd w:val="0"/>
        <w:spacing w:before="120" w:after="240"/>
        <w:jc w:val="center"/>
        <w:rPr>
          <w:i/>
          <w:noProof/>
        </w:rPr>
      </w:pPr>
      <w:r w:rsidRPr="005D7987">
        <w:rPr>
          <w:b/>
          <w:i/>
          <w:noProof/>
          <w:u w:val="single"/>
        </w:rPr>
        <w:t xml:space="preserve">Not applicable to </w:t>
      </w:r>
      <w:r w:rsidR="00C75209" w:rsidRPr="005D7987">
        <w:rPr>
          <w:b/>
          <w:i/>
          <w:noProof/>
          <w:u w:val="single"/>
        </w:rPr>
        <w:t xml:space="preserve">natural persons, </w:t>
      </w:r>
      <w:r w:rsidRPr="005D7987">
        <w:rPr>
          <w:b/>
          <w:i/>
          <w:noProof/>
          <w:u w:val="single"/>
        </w:rPr>
        <w:t>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E3807" w:rsidRPr="0016702E" w14:paraId="753CE93D" w14:textId="77777777" w:rsidTr="00A27FDF">
        <w:tc>
          <w:tcPr>
            <w:tcW w:w="7763" w:type="dxa"/>
            <w:shd w:val="clear" w:color="auto" w:fill="auto"/>
            <w:vAlign w:val="center"/>
          </w:tcPr>
          <w:p w14:paraId="208D1144" w14:textId="77777777" w:rsidR="005E3807" w:rsidRPr="005D7987" w:rsidRDefault="00A55867" w:rsidP="00A55867">
            <w:pPr>
              <w:numPr>
                <w:ilvl w:val="0"/>
                <w:numId w:val="14"/>
              </w:numPr>
              <w:spacing w:before="40" w:after="40"/>
              <w:jc w:val="both"/>
              <w:rPr>
                <w:noProof/>
              </w:rPr>
            </w:pPr>
            <w:r w:rsidRPr="005D7987">
              <w:rPr>
                <w:noProof/>
              </w:rPr>
              <w:t xml:space="preserve">The signatory </w:t>
            </w:r>
            <w:r w:rsidR="005E3807" w:rsidRPr="005D7987">
              <w:rPr>
                <w:noProof/>
              </w:rPr>
              <w:t xml:space="preserve">declares that a </w:t>
            </w:r>
            <w:r w:rsidR="000E2498" w:rsidRPr="005D7987">
              <w:rPr>
                <w:noProof/>
              </w:rPr>
              <w:t xml:space="preserve">natural </w:t>
            </w:r>
            <w:r w:rsidR="0092619B" w:rsidRPr="005D7987">
              <w:rPr>
                <w:noProof/>
              </w:rPr>
              <w:t xml:space="preserve">or legal </w:t>
            </w:r>
            <w:r w:rsidR="005E3807" w:rsidRPr="005D7987">
              <w:rPr>
                <w:noProof/>
              </w:rPr>
              <w:t xml:space="preserve">person who is a member of the administrative, management or supervisory body of the above-mentioned legal person, or who has powers of representation, decision or control with regard to the above-mentioned legal person </w:t>
            </w:r>
            <w:r w:rsidR="005E3807" w:rsidRPr="005D7987">
              <w:t xml:space="preserve">(this covers </w:t>
            </w:r>
            <w:r w:rsidRPr="005D7987">
              <w:t xml:space="preserve">e.g. </w:t>
            </w:r>
            <w:r w:rsidR="005E3807" w:rsidRPr="005D7987">
              <w:t xml:space="preserve">company directors, members of management or supervisory bodies, and cases where one natural </w:t>
            </w:r>
            <w:r w:rsidRPr="005D7987">
              <w:t xml:space="preserve">or legal </w:t>
            </w:r>
            <w:r w:rsidR="005E3807" w:rsidRPr="005D7987">
              <w:t>person holds a majority of shares)</w:t>
            </w:r>
            <w:r w:rsidR="005E3807" w:rsidRPr="005D7987">
              <w:rPr>
                <w:noProof/>
              </w:rPr>
              <w:t xml:space="preserve"> </w:t>
            </w:r>
            <w:r w:rsidRPr="005D7987">
              <w:rPr>
                <w:noProof/>
              </w:rPr>
              <w:t xml:space="preserve">) or a beneficial owner of the person (as referred to in point 6 of article 3 of Directive (EU) No 2015/849) </w:t>
            </w:r>
            <w:r w:rsidR="005E3807" w:rsidRPr="005D7987">
              <w:rPr>
                <w:noProof/>
              </w:rPr>
              <w:t xml:space="preserve">is in one of the following situations: </w:t>
            </w:r>
          </w:p>
        </w:tc>
        <w:tc>
          <w:tcPr>
            <w:tcW w:w="670" w:type="dxa"/>
            <w:shd w:val="clear" w:color="auto" w:fill="auto"/>
          </w:tcPr>
          <w:p w14:paraId="5EDC1FDD" w14:textId="77777777" w:rsidR="005E3807" w:rsidRPr="005D7987" w:rsidRDefault="005E3807" w:rsidP="00A27FDF">
            <w:pPr>
              <w:spacing w:before="240" w:after="120"/>
              <w:jc w:val="both"/>
              <w:rPr>
                <w:noProof/>
              </w:rPr>
            </w:pPr>
            <w:r w:rsidRPr="005D7987">
              <w:rPr>
                <w:noProof/>
              </w:rPr>
              <w:t>YES</w:t>
            </w:r>
          </w:p>
        </w:tc>
        <w:tc>
          <w:tcPr>
            <w:tcW w:w="614" w:type="dxa"/>
            <w:shd w:val="clear" w:color="auto" w:fill="auto"/>
          </w:tcPr>
          <w:p w14:paraId="3DBF4A09" w14:textId="77777777" w:rsidR="005E3807" w:rsidRPr="005D7987" w:rsidRDefault="005E3807" w:rsidP="00A27FDF">
            <w:pPr>
              <w:spacing w:before="240" w:after="120"/>
              <w:jc w:val="both"/>
              <w:rPr>
                <w:noProof/>
              </w:rPr>
            </w:pPr>
            <w:r w:rsidRPr="005D7987">
              <w:rPr>
                <w:noProof/>
              </w:rPr>
              <w:t>NO</w:t>
            </w:r>
          </w:p>
        </w:tc>
        <w:tc>
          <w:tcPr>
            <w:tcW w:w="614" w:type="dxa"/>
          </w:tcPr>
          <w:p w14:paraId="6E88128F" w14:textId="77777777" w:rsidR="005E3807" w:rsidRPr="005D7987" w:rsidRDefault="005E3807" w:rsidP="00A27FDF">
            <w:pPr>
              <w:spacing w:before="240" w:after="120"/>
              <w:jc w:val="both"/>
              <w:rPr>
                <w:noProof/>
              </w:rPr>
            </w:pPr>
            <w:r w:rsidRPr="005D7987">
              <w:rPr>
                <w:noProof/>
              </w:rPr>
              <w:t>N/A</w:t>
            </w:r>
          </w:p>
        </w:tc>
      </w:tr>
      <w:tr w:rsidR="005E3807" w:rsidRPr="0016702E" w14:paraId="7A5AA2EE" w14:textId="77777777" w:rsidTr="00A27FDF">
        <w:tc>
          <w:tcPr>
            <w:tcW w:w="7763" w:type="dxa"/>
            <w:shd w:val="clear" w:color="auto" w:fill="auto"/>
            <w:vAlign w:val="center"/>
          </w:tcPr>
          <w:p w14:paraId="3CCCBB94" w14:textId="77777777" w:rsidR="005E3807" w:rsidRPr="005D7987" w:rsidRDefault="005E3807" w:rsidP="00A27FDF">
            <w:pPr>
              <w:pStyle w:val="Text1"/>
              <w:spacing w:before="40" w:after="40"/>
              <w:ind w:left="360"/>
              <w:rPr>
                <w:noProof/>
                <w:szCs w:val="24"/>
              </w:rPr>
            </w:pPr>
            <w:r w:rsidRPr="005D7987">
              <w:rPr>
                <w:noProof/>
                <w:szCs w:val="24"/>
              </w:rPr>
              <w:t>Situation (c) above (grave professional misconduct)</w:t>
            </w:r>
          </w:p>
        </w:tc>
        <w:tc>
          <w:tcPr>
            <w:tcW w:w="670" w:type="dxa"/>
            <w:shd w:val="clear" w:color="auto" w:fill="auto"/>
            <w:vAlign w:val="center"/>
          </w:tcPr>
          <w:p w14:paraId="1544DE5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0E1213E3"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669196FF"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308B39EF" w14:textId="77777777" w:rsidTr="00A27FDF">
        <w:tc>
          <w:tcPr>
            <w:tcW w:w="7763" w:type="dxa"/>
            <w:shd w:val="clear" w:color="auto" w:fill="auto"/>
            <w:vAlign w:val="center"/>
          </w:tcPr>
          <w:p w14:paraId="02296CB1" w14:textId="77777777" w:rsidR="005E3807" w:rsidRPr="005D7987" w:rsidRDefault="005E3807" w:rsidP="00A27FDF">
            <w:pPr>
              <w:pStyle w:val="Text1"/>
              <w:spacing w:before="40" w:after="40"/>
              <w:ind w:left="360"/>
              <w:rPr>
                <w:noProof/>
                <w:szCs w:val="24"/>
              </w:rPr>
            </w:pPr>
            <w:r w:rsidRPr="005D7987">
              <w:rPr>
                <w:noProof/>
                <w:szCs w:val="24"/>
              </w:rPr>
              <w:t>Situation (d) above (fraud, corruption or other criminal offence)</w:t>
            </w:r>
          </w:p>
        </w:tc>
        <w:tc>
          <w:tcPr>
            <w:tcW w:w="670" w:type="dxa"/>
            <w:shd w:val="clear" w:color="auto" w:fill="auto"/>
            <w:vAlign w:val="center"/>
          </w:tcPr>
          <w:p w14:paraId="0A3B68E4"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2433BB37"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6FA1E2EB"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2C7164CC" w14:textId="77777777" w:rsidTr="00A27FDF">
        <w:tc>
          <w:tcPr>
            <w:tcW w:w="7763" w:type="dxa"/>
            <w:shd w:val="clear" w:color="auto" w:fill="auto"/>
            <w:vAlign w:val="center"/>
          </w:tcPr>
          <w:p w14:paraId="683A5EE9" w14:textId="77777777" w:rsidR="005E3807" w:rsidRPr="005D7987" w:rsidRDefault="005E3807" w:rsidP="00A27FDF">
            <w:pPr>
              <w:pStyle w:val="Text1"/>
              <w:spacing w:before="40" w:after="40"/>
              <w:ind w:left="360"/>
              <w:rPr>
                <w:noProof/>
                <w:szCs w:val="24"/>
              </w:rPr>
            </w:pPr>
            <w:r w:rsidRPr="005D7987">
              <w:rPr>
                <w:noProof/>
                <w:szCs w:val="24"/>
              </w:rPr>
              <w:t>Situation (e) above (significant deficiencies in performance of a contract )</w:t>
            </w:r>
          </w:p>
        </w:tc>
        <w:tc>
          <w:tcPr>
            <w:tcW w:w="670" w:type="dxa"/>
            <w:shd w:val="clear" w:color="auto" w:fill="auto"/>
            <w:vAlign w:val="center"/>
          </w:tcPr>
          <w:p w14:paraId="22580FBA"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2760087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2A30C7E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0AA3FDEF" w14:textId="77777777" w:rsidTr="00A27FDF">
        <w:tc>
          <w:tcPr>
            <w:tcW w:w="7763" w:type="dxa"/>
            <w:shd w:val="clear" w:color="auto" w:fill="auto"/>
            <w:vAlign w:val="center"/>
          </w:tcPr>
          <w:p w14:paraId="1534C053" w14:textId="77777777" w:rsidR="005E3807" w:rsidRPr="005D7987" w:rsidRDefault="005E3807" w:rsidP="00A27FDF">
            <w:pPr>
              <w:pStyle w:val="Text1"/>
              <w:spacing w:before="40" w:after="40"/>
              <w:ind w:left="360"/>
              <w:rPr>
                <w:noProof/>
                <w:szCs w:val="24"/>
              </w:rPr>
            </w:pPr>
            <w:r w:rsidRPr="005D7987">
              <w:rPr>
                <w:noProof/>
                <w:szCs w:val="24"/>
              </w:rPr>
              <w:t>Situation (f) above (irregularity)</w:t>
            </w:r>
          </w:p>
        </w:tc>
        <w:tc>
          <w:tcPr>
            <w:tcW w:w="670" w:type="dxa"/>
            <w:shd w:val="clear" w:color="auto" w:fill="auto"/>
            <w:vAlign w:val="center"/>
          </w:tcPr>
          <w:p w14:paraId="23C2FE4E"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0AA2BB20"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1FF1645D"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A55867" w:rsidRPr="0016702E" w14:paraId="5ED454B4" w14:textId="77777777" w:rsidTr="00A27FDF">
        <w:tc>
          <w:tcPr>
            <w:tcW w:w="7763" w:type="dxa"/>
            <w:shd w:val="clear" w:color="auto" w:fill="auto"/>
            <w:vAlign w:val="center"/>
          </w:tcPr>
          <w:p w14:paraId="50516B80" w14:textId="77777777" w:rsidR="00A55867" w:rsidRPr="005D7987" w:rsidRDefault="00A55867" w:rsidP="00A27FDF">
            <w:pPr>
              <w:pStyle w:val="Text1"/>
              <w:spacing w:before="40" w:after="40"/>
              <w:ind w:left="360"/>
              <w:rPr>
                <w:noProof/>
                <w:szCs w:val="24"/>
              </w:rPr>
            </w:pPr>
            <w:r w:rsidRPr="005D7987">
              <w:rPr>
                <w:noProof/>
                <w:szCs w:val="24"/>
              </w:rPr>
              <w:t>Situation (g) above (creation of an entity with the intent to circumvent legal obligations)</w:t>
            </w:r>
          </w:p>
        </w:tc>
        <w:tc>
          <w:tcPr>
            <w:tcW w:w="670" w:type="dxa"/>
            <w:shd w:val="clear" w:color="auto" w:fill="auto"/>
            <w:vAlign w:val="center"/>
          </w:tcPr>
          <w:p w14:paraId="5E95F7BF"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3A4E49F5"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6878013C"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A55867" w:rsidRPr="0016702E" w14:paraId="333A3FDD" w14:textId="77777777" w:rsidTr="00A27FDF">
        <w:tc>
          <w:tcPr>
            <w:tcW w:w="7763" w:type="dxa"/>
            <w:shd w:val="clear" w:color="auto" w:fill="auto"/>
            <w:vAlign w:val="center"/>
          </w:tcPr>
          <w:p w14:paraId="12C26B8A" w14:textId="77777777" w:rsidR="00A55867" w:rsidRPr="005D7987" w:rsidRDefault="00A55867" w:rsidP="00A27FDF">
            <w:pPr>
              <w:pStyle w:val="Text1"/>
              <w:spacing w:before="40" w:after="40"/>
              <w:ind w:left="360"/>
              <w:rPr>
                <w:noProof/>
                <w:szCs w:val="24"/>
              </w:rPr>
            </w:pPr>
            <w:r w:rsidRPr="005D7987">
              <w:rPr>
                <w:noProof/>
                <w:szCs w:val="24"/>
              </w:rPr>
              <w:lastRenderedPageBreak/>
              <w:t>Situation (h) above (person created with the intent to circumvent legal obligations)</w:t>
            </w:r>
          </w:p>
        </w:tc>
        <w:tc>
          <w:tcPr>
            <w:tcW w:w="670" w:type="dxa"/>
            <w:shd w:val="clear" w:color="auto" w:fill="auto"/>
            <w:vAlign w:val="center"/>
          </w:tcPr>
          <w:p w14:paraId="47A4410F"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0360B192"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2F88EEB4" w14:textId="77777777" w:rsidR="00A55867" w:rsidRPr="005D7987" w:rsidRDefault="00A5586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027F1C" w:rsidRPr="0016702E" w14:paraId="7F446951" w14:textId="77777777" w:rsidTr="00A27FDF">
        <w:tc>
          <w:tcPr>
            <w:tcW w:w="7763" w:type="dxa"/>
            <w:shd w:val="clear" w:color="auto" w:fill="auto"/>
            <w:vAlign w:val="center"/>
          </w:tcPr>
          <w:p w14:paraId="5CB0DE45" w14:textId="77777777" w:rsidR="00027F1C" w:rsidRPr="005D7987" w:rsidRDefault="00027F1C" w:rsidP="00A27FDF">
            <w:pPr>
              <w:pStyle w:val="Text1"/>
              <w:spacing w:before="40" w:after="40"/>
              <w:ind w:left="360"/>
              <w:rPr>
                <w:noProof/>
                <w:szCs w:val="24"/>
              </w:rPr>
            </w:pPr>
            <w:r w:rsidRPr="005D7987">
              <w:rPr>
                <w:noProof/>
                <w:szCs w:val="24"/>
              </w:rPr>
              <w:t>Situation (i) above</w:t>
            </w:r>
          </w:p>
        </w:tc>
        <w:tc>
          <w:tcPr>
            <w:tcW w:w="670" w:type="dxa"/>
            <w:shd w:val="clear" w:color="auto" w:fill="auto"/>
            <w:vAlign w:val="center"/>
          </w:tcPr>
          <w:p w14:paraId="084BE6DE" w14:textId="77777777" w:rsidR="00027F1C" w:rsidRPr="005D7987" w:rsidRDefault="00027F1C"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vAlign w:val="center"/>
          </w:tcPr>
          <w:p w14:paraId="62E49868" w14:textId="77777777" w:rsidR="00027F1C" w:rsidRPr="005D7987" w:rsidRDefault="00027F1C"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76B7ABBD" w14:textId="77777777" w:rsidR="00027F1C" w:rsidRPr="005D7987" w:rsidRDefault="00027F1C"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7E894BC6" w14:textId="77777777" w:rsidR="005E3807" w:rsidRPr="005D7987" w:rsidRDefault="005E3807" w:rsidP="005E3807">
      <w:pPr>
        <w:pStyle w:val="Title"/>
        <w:rPr>
          <w:rFonts w:ascii="Times New Roman" w:hAnsi="Times New Roman"/>
          <w:noProof/>
          <w:szCs w:val="24"/>
        </w:rPr>
      </w:pPr>
      <w:r w:rsidRPr="005D7987">
        <w:rPr>
          <w:rFonts w:ascii="Times New Roman" w:hAnsi="Times New Roman"/>
          <w:szCs w:val="24"/>
        </w:rPr>
        <w:t xml:space="preserve">III </w:t>
      </w:r>
      <w:r w:rsidRPr="005D7987">
        <w:rPr>
          <w:rFonts w:ascii="Times New Roman" w:hAnsi="Times New Roman" w:hint="eastAsia"/>
          <w:szCs w:val="24"/>
        </w:rPr>
        <w:t>–</w:t>
      </w:r>
      <w:r w:rsidRPr="005D7987">
        <w:rPr>
          <w:rFonts w:ascii="Times New Roman" w:hAnsi="Times New Roman"/>
          <w:szCs w:val="24"/>
        </w:rPr>
        <w:t xml:space="preserve">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E3807" w:rsidRPr="0016702E" w14:paraId="6B35D988" w14:textId="77777777" w:rsidTr="00A27FDF">
        <w:tc>
          <w:tcPr>
            <w:tcW w:w="7747" w:type="dxa"/>
            <w:shd w:val="clear" w:color="auto" w:fill="auto"/>
          </w:tcPr>
          <w:p w14:paraId="742CD4CD" w14:textId="77777777" w:rsidR="005E3807" w:rsidRPr="005D7987" w:rsidRDefault="005E3807" w:rsidP="002F495A">
            <w:pPr>
              <w:numPr>
                <w:ilvl w:val="0"/>
                <w:numId w:val="14"/>
              </w:numPr>
              <w:spacing w:before="40" w:after="40"/>
              <w:jc w:val="both"/>
              <w:rPr>
                <w:noProof/>
              </w:rPr>
            </w:pPr>
            <w:r w:rsidRPr="005D7987">
              <w:rPr>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76ECAFA2" w14:textId="77777777" w:rsidR="005E3807" w:rsidRPr="005D7987" w:rsidRDefault="005E3807" w:rsidP="00A27FDF">
            <w:pPr>
              <w:spacing w:before="240" w:after="120"/>
              <w:jc w:val="both"/>
              <w:rPr>
                <w:noProof/>
              </w:rPr>
            </w:pPr>
            <w:r w:rsidRPr="005D7987">
              <w:rPr>
                <w:noProof/>
              </w:rPr>
              <w:t>YES</w:t>
            </w:r>
          </w:p>
        </w:tc>
        <w:tc>
          <w:tcPr>
            <w:tcW w:w="614" w:type="dxa"/>
          </w:tcPr>
          <w:p w14:paraId="711AE118" w14:textId="77777777" w:rsidR="005E3807" w:rsidRPr="005D7987" w:rsidRDefault="005E3807" w:rsidP="00A27FDF">
            <w:pPr>
              <w:spacing w:before="240" w:after="120"/>
              <w:jc w:val="both"/>
              <w:rPr>
                <w:noProof/>
              </w:rPr>
            </w:pPr>
            <w:r w:rsidRPr="005D7987">
              <w:rPr>
                <w:noProof/>
              </w:rPr>
              <w:t>NO</w:t>
            </w:r>
          </w:p>
        </w:tc>
        <w:tc>
          <w:tcPr>
            <w:tcW w:w="630" w:type="dxa"/>
            <w:shd w:val="clear" w:color="auto" w:fill="auto"/>
          </w:tcPr>
          <w:p w14:paraId="2F3A50AD" w14:textId="77777777" w:rsidR="005E3807" w:rsidRPr="005D7987" w:rsidRDefault="005E3807" w:rsidP="00A27FDF">
            <w:pPr>
              <w:spacing w:before="240" w:after="120"/>
              <w:jc w:val="both"/>
              <w:rPr>
                <w:noProof/>
              </w:rPr>
            </w:pPr>
            <w:r w:rsidRPr="005D7987">
              <w:rPr>
                <w:noProof/>
              </w:rPr>
              <w:t>N/A</w:t>
            </w:r>
          </w:p>
        </w:tc>
      </w:tr>
      <w:tr w:rsidR="005E3807" w:rsidRPr="0016702E" w14:paraId="02AAE464" w14:textId="77777777" w:rsidTr="00A27FDF">
        <w:tc>
          <w:tcPr>
            <w:tcW w:w="7747" w:type="dxa"/>
            <w:shd w:val="clear" w:color="auto" w:fill="auto"/>
            <w:vAlign w:val="center"/>
          </w:tcPr>
          <w:p w14:paraId="0BE72AB3" w14:textId="77777777" w:rsidR="005E3807" w:rsidRPr="005D7987" w:rsidRDefault="005E3807" w:rsidP="00A27FDF">
            <w:pPr>
              <w:pStyle w:val="Text1"/>
              <w:spacing w:before="40" w:after="40"/>
              <w:ind w:left="360"/>
              <w:rPr>
                <w:noProof/>
                <w:szCs w:val="24"/>
              </w:rPr>
            </w:pPr>
            <w:r w:rsidRPr="005D7987">
              <w:rPr>
                <w:noProof/>
                <w:szCs w:val="24"/>
              </w:rPr>
              <w:t>Situation (a) above (bankruptcy)</w:t>
            </w:r>
          </w:p>
        </w:tc>
        <w:tc>
          <w:tcPr>
            <w:tcW w:w="670" w:type="dxa"/>
            <w:shd w:val="clear" w:color="auto" w:fill="auto"/>
            <w:vAlign w:val="center"/>
          </w:tcPr>
          <w:p w14:paraId="3E5DC4E8"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2E57D4BF"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shd w:val="clear" w:color="auto" w:fill="auto"/>
            <w:vAlign w:val="center"/>
          </w:tcPr>
          <w:p w14:paraId="7A895C67"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375AE574" w14:textId="77777777" w:rsidTr="00A27FDF">
        <w:tc>
          <w:tcPr>
            <w:tcW w:w="7747" w:type="dxa"/>
            <w:shd w:val="clear" w:color="auto" w:fill="auto"/>
            <w:vAlign w:val="center"/>
          </w:tcPr>
          <w:p w14:paraId="7108854D" w14:textId="77777777" w:rsidR="005E3807" w:rsidRPr="005D7987" w:rsidRDefault="005E3807" w:rsidP="00A27FDF">
            <w:pPr>
              <w:pStyle w:val="Text1"/>
              <w:spacing w:before="40" w:after="40"/>
              <w:ind w:left="360"/>
              <w:rPr>
                <w:noProof/>
                <w:szCs w:val="24"/>
              </w:rPr>
            </w:pPr>
            <w:r w:rsidRPr="005D7987">
              <w:rPr>
                <w:noProof/>
                <w:szCs w:val="24"/>
              </w:rPr>
              <w:t>Situation (b) above (breach in payment of taxes or social security contributions)</w:t>
            </w:r>
          </w:p>
        </w:tc>
        <w:tc>
          <w:tcPr>
            <w:tcW w:w="670" w:type="dxa"/>
            <w:shd w:val="clear" w:color="auto" w:fill="auto"/>
            <w:vAlign w:val="center"/>
          </w:tcPr>
          <w:p w14:paraId="6EEEC4E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tcPr>
          <w:p w14:paraId="59057C8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shd w:val="clear" w:color="auto" w:fill="auto"/>
            <w:vAlign w:val="center"/>
          </w:tcPr>
          <w:p w14:paraId="42865AE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35216530" w14:textId="77777777" w:rsidR="005E3807" w:rsidRPr="005D7987" w:rsidRDefault="005E3807" w:rsidP="005E3807">
      <w:pPr>
        <w:pStyle w:val="Title"/>
        <w:rPr>
          <w:rFonts w:ascii="Times New Roman" w:hAnsi="Times New Roman"/>
          <w:noProof/>
          <w:szCs w:val="24"/>
        </w:rPr>
      </w:pPr>
      <w:r w:rsidRPr="005D7987">
        <w:rPr>
          <w:rFonts w:ascii="Times New Roman" w:hAnsi="Times New Roman"/>
          <w:noProof/>
          <w:szCs w:val="24"/>
        </w:rPr>
        <w:t xml:space="preserve">IV </w:t>
      </w:r>
      <w:r w:rsidRPr="005D7987">
        <w:rPr>
          <w:rFonts w:ascii="Times New Roman" w:hAnsi="Times New Roman" w:hint="eastAsia"/>
          <w:noProof/>
          <w:szCs w:val="24"/>
        </w:rPr>
        <w:t>–</w:t>
      </w:r>
      <w:r w:rsidRPr="005D7987">
        <w:rPr>
          <w:rFonts w:ascii="Times New Roman" w:hAnsi="Times New Roman"/>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E3807" w:rsidRPr="0016702E" w14:paraId="66FFC63D" w14:textId="77777777" w:rsidTr="00A27FDF">
        <w:tc>
          <w:tcPr>
            <w:tcW w:w="8472" w:type="dxa"/>
            <w:shd w:val="clear" w:color="auto" w:fill="auto"/>
          </w:tcPr>
          <w:p w14:paraId="5D33B84E" w14:textId="77777777" w:rsidR="005E3807" w:rsidRPr="005D7987" w:rsidRDefault="005E3807" w:rsidP="002F495A">
            <w:pPr>
              <w:numPr>
                <w:ilvl w:val="0"/>
                <w:numId w:val="14"/>
              </w:numPr>
              <w:spacing w:before="40" w:after="40"/>
              <w:jc w:val="both"/>
              <w:rPr>
                <w:noProof/>
              </w:rPr>
            </w:pPr>
            <w:r w:rsidRPr="005D7987">
              <w:rPr>
                <w:noProof/>
              </w:rPr>
              <w:t xml:space="preserve"> declares that the above-mentioned person:</w:t>
            </w:r>
          </w:p>
        </w:tc>
        <w:tc>
          <w:tcPr>
            <w:tcW w:w="670" w:type="dxa"/>
            <w:shd w:val="clear" w:color="auto" w:fill="auto"/>
          </w:tcPr>
          <w:p w14:paraId="24326852" w14:textId="77777777" w:rsidR="005E3807" w:rsidRPr="005D7987" w:rsidRDefault="005E3807" w:rsidP="00A27FDF">
            <w:pPr>
              <w:spacing w:before="240" w:after="120"/>
              <w:jc w:val="both"/>
              <w:rPr>
                <w:noProof/>
              </w:rPr>
            </w:pPr>
            <w:r w:rsidRPr="005D7987">
              <w:rPr>
                <w:noProof/>
              </w:rPr>
              <w:t>YES</w:t>
            </w:r>
          </w:p>
        </w:tc>
        <w:tc>
          <w:tcPr>
            <w:tcW w:w="614" w:type="dxa"/>
            <w:shd w:val="clear" w:color="auto" w:fill="auto"/>
          </w:tcPr>
          <w:p w14:paraId="3CD8DF6A" w14:textId="77777777" w:rsidR="005E3807" w:rsidRPr="005D7987" w:rsidRDefault="005E3807" w:rsidP="00A27FDF">
            <w:pPr>
              <w:spacing w:before="240" w:after="120"/>
              <w:jc w:val="both"/>
              <w:rPr>
                <w:noProof/>
              </w:rPr>
            </w:pPr>
            <w:r w:rsidRPr="005D7987">
              <w:rPr>
                <w:noProof/>
              </w:rPr>
              <w:t>NO</w:t>
            </w:r>
          </w:p>
        </w:tc>
      </w:tr>
      <w:tr w:rsidR="005E3807" w:rsidRPr="0016702E" w14:paraId="2329EBAF" w14:textId="77777777" w:rsidTr="00A27FDF">
        <w:tc>
          <w:tcPr>
            <w:tcW w:w="8472" w:type="dxa"/>
            <w:shd w:val="clear" w:color="auto" w:fill="auto"/>
          </w:tcPr>
          <w:p w14:paraId="7D64FF1A" w14:textId="77777777" w:rsidR="00A55867" w:rsidRPr="005D7987" w:rsidRDefault="00A55867" w:rsidP="00772303">
            <w:pPr>
              <w:pStyle w:val="Text1"/>
              <w:spacing w:before="40" w:after="40"/>
              <w:ind w:left="360"/>
              <w:rPr>
                <w:noProof/>
                <w:szCs w:val="24"/>
              </w:rPr>
            </w:pPr>
            <w:r w:rsidRPr="005D7987">
              <w:rPr>
                <w:noProof/>
                <w:szCs w:val="24"/>
              </w:rPr>
              <w:tab/>
              <w:t>Was previously involved in the preparation of the procurement documents used in this award procedure, where this entailed a breach of the principle of equality of treatment including distortion of competition that cannot be remedied otherwise.</w:t>
            </w:r>
          </w:p>
          <w:p w14:paraId="269B8CB2" w14:textId="77777777" w:rsidR="005E3807" w:rsidRPr="005D7987" w:rsidRDefault="005E3807" w:rsidP="00772303">
            <w:pPr>
              <w:pStyle w:val="Text1"/>
              <w:spacing w:before="40" w:after="40"/>
              <w:ind w:left="360"/>
              <w:rPr>
                <w:noProof/>
                <w:szCs w:val="24"/>
              </w:rPr>
            </w:pPr>
          </w:p>
        </w:tc>
        <w:tc>
          <w:tcPr>
            <w:tcW w:w="670" w:type="dxa"/>
            <w:shd w:val="clear" w:color="auto" w:fill="auto"/>
          </w:tcPr>
          <w:p w14:paraId="3871531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14" w:type="dxa"/>
            <w:shd w:val="clear" w:color="auto" w:fill="auto"/>
          </w:tcPr>
          <w:p w14:paraId="6E8C9B2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1A43666D" w14:textId="77777777" w:rsidR="005E3807" w:rsidRPr="005D7987" w:rsidRDefault="005E3807" w:rsidP="005E3807">
      <w:pPr>
        <w:pStyle w:val="Title"/>
        <w:rPr>
          <w:rFonts w:ascii="Times New Roman" w:hAnsi="Times New Roman"/>
          <w:noProof/>
          <w:szCs w:val="24"/>
        </w:rPr>
      </w:pPr>
      <w:r w:rsidRPr="005D7987">
        <w:rPr>
          <w:rFonts w:ascii="Times New Roman" w:hAnsi="Times New Roman"/>
          <w:noProof/>
          <w:szCs w:val="24"/>
        </w:rPr>
        <w:t xml:space="preserve">V </w:t>
      </w:r>
      <w:r w:rsidRPr="005D7987">
        <w:rPr>
          <w:rFonts w:ascii="Times New Roman" w:hAnsi="Times New Roman" w:hint="eastAsia"/>
          <w:noProof/>
          <w:szCs w:val="24"/>
        </w:rPr>
        <w:t>–</w:t>
      </w:r>
      <w:r w:rsidRPr="005D7987">
        <w:rPr>
          <w:rFonts w:ascii="Times New Roman" w:hAnsi="Times New Roman"/>
          <w:noProof/>
          <w:szCs w:val="24"/>
        </w:rPr>
        <w:t xml:space="preserve"> Remedial measures</w:t>
      </w:r>
    </w:p>
    <w:p w14:paraId="26BD32E0" w14:textId="77777777" w:rsidR="005E3807" w:rsidRPr="005D7987" w:rsidRDefault="005E3807" w:rsidP="005E3807">
      <w:pPr>
        <w:spacing w:before="120" w:after="120"/>
        <w:jc w:val="both"/>
        <w:rPr>
          <w:color w:val="000000"/>
        </w:rPr>
      </w:pPr>
      <w:r w:rsidRPr="005D7987">
        <w:rPr>
          <w:noProof/>
        </w:rPr>
        <w:t xml:space="preserve">If the person declares one of the </w:t>
      </w:r>
      <w:r w:rsidRPr="005D7987">
        <w:rPr>
          <w:bCs/>
          <w:iCs/>
          <w:color w:val="000000"/>
        </w:rPr>
        <w:t xml:space="preserve">situations of exclusion listed above, it </w:t>
      </w:r>
      <w:r w:rsidRPr="005D7987">
        <w:rPr>
          <w:color w:val="000000"/>
        </w:rPr>
        <w:t>must indicate measures it has taken to remedy the exclusion situation, thus demonstrating</w:t>
      </w:r>
      <w:r w:rsidRPr="005D7987">
        <w:rPr>
          <w:bCs/>
          <w:iCs/>
          <w:color w:val="000000"/>
        </w:rPr>
        <w:t xml:space="preserve"> its reliability. This may include e.g. technical, organisational and personnel measures to prevent further occurrence, compensation of damage or payment of fines</w:t>
      </w:r>
      <w:r w:rsidR="00A55867" w:rsidRPr="005D7987">
        <w:t xml:space="preserve"> </w:t>
      </w:r>
      <w:r w:rsidR="00A55867" w:rsidRPr="005D7987">
        <w:rPr>
          <w:bCs/>
          <w:iCs/>
          <w:color w:val="000000"/>
        </w:rPr>
        <w:t>or of any taxes or social security contributions</w:t>
      </w:r>
      <w:r w:rsidRPr="005D7987">
        <w:rPr>
          <w:bCs/>
          <w:iCs/>
          <w:color w:val="000000"/>
        </w:rPr>
        <w:t>. The relevant documentary evidence which illustrates the remedial measures taken must be provided in annex to this declaration</w:t>
      </w:r>
      <w:r w:rsidRPr="005D7987">
        <w:rPr>
          <w:color w:val="000000"/>
        </w:rPr>
        <w:t>. This does not apply for situations referred in point (d) of this declaration.</w:t>
      </w:r>
    </w:p>
    <w:p w14:paraId="43557598" w14:textId="77777777" w:rsidR="005E3807" w:rsidRPr="005D7987" w:rsidRDefault="005E3807" w:rsidP="005E3807">
      <w:pPr>
        <w:pStyle w:val="Title"/>
        <w:rPr>
          <w:rFonts w:ascii="Times New Roman" w:hAnsi="Times New Roman"/>
          <w:noProof/>
          <w:szCs w:val="24"/>
        </w:rPr>
      </w:pPr>
      <w:r w:rsidRPr="005D7987">
        <w:rPr>
          <w:rFonts w:ascii="Times New Roman" w:hAnsi="Times New Roman"/>
          <w:noProof/>
          <w:szCs w:val="24"/>
        </w:rPr>
        <w:t xml:space="preserve">VI </w:t>
      </w:r>
      <w:r w:rsidRPr="005D7987">
        <w:rPr>
          <w:rFonts w:ascii="Times New Roman" w:hAnsi="Times New Roman" w:hint="eastAsia"/>
          <w:noProof/>
          <w:szCs w:val="24"/>
        </w:rPr>
        <w:t>–</w:t>
      </w:r>
      <w:r w:rsidRPr="005D7987">
        <w:rPr>
          <w:rFonts w:ascii="Times New Roman" w:hAnsi="Times New Roman"/>
          <w:noProof/>
          <w:szCs w:val="24"/>
        </w:rPr>
        <w:t xml:space="preserve"> Evidence upon request</w:t>
      </w:r>
    </w:p>
    <w:p w14:paraId="408D273A" w14:textId="77777777" w:rsidR="00A55867" w:rsidRPr="005D7987" w:rsidRDefault="005E3807" w:rsidP="005E3807">
      <w:pPr>
        <w:spacing w:before="120" w:after="120"/>
        <w:ind w:firstLine="11"/>
        <w:jc w:val="both"/>
        <w:rPr>
          <w:noProof/>
        </w:rPr>
      </w:pPr>
      <w:r w:rsidRPr="005D7987">
        <w:rPr>
          <w:noProof/>
        </w:rPr>
        <w:t>Upon request and within the time limit set by the contracting authority the person must provide information on the persons that are members of the administrative, management or supervisory body</w:t>
      </w:r>
      <w:r w:rsidR="00A55867" w:rsidRPr="005D7987">
        <w:t xml:space="preserve"> </w:t>
      </w:r>
      <w:r w:rsidR="00A55867" w:rsidRPr="005D7987">
        <w:rPr>
          <w:noProof/>
        </w:rPr>
        <w:t>or that have powers of representation, decision or control, including legal and natural persons within the ownership and control structure and beneficial owners</w:t>
      </w:r>
      <w:r w:rsidRPr="005D7987">
        <w:rPr>
          <w:noProof/>
        </w:rPr>
        <w:t>.</w:t>
      </w:r>
    </w:p>
    <w:p w14:paraId="0226C234" w14:textId="77777777" w:rsidR="005E3807" w:rsidRPr="005D7987" w:rsidRDefault="005E3807" w:rsidP="005E3807">
      <w:pPr>
        <w:spacing w:before="120" w:after="120"/>
        <w:ind w:firstLine="11"/>
        <w:jc w:val="both"/>
        <w:rPr>
          <w:noProof/>
        </w:rPr>
      </w:pPr>
      <w:r w:rsidRPr="005D7987">
        <w:rPr>
          <w:noProof/>
        </w:rPr>
        <w:t xml:space="preserve">It must also provide the following evidence concerning the person itself and concerning the natural or legal persons </w:t>
      </w:r>
      <w:r w:rsidR="00A55867" w:rsidRPr="005D7987">
        <w:rPr>
          <w:noProof/>
        </w:rPr>
        <w:t xml:space="preserve">on whose capacity the person intends to rely, or a subcontractor and concerning the natural or legal persons </w:t>
      </w:r>
      <w:r w:rsidRPr="005D7987">
        <w:rPr>
          <w:noProof/>
        </w:rPr>
        <w:t>which assume unlimited liability for the debt of the person:</w:t>
      </w:r>
    </w:p>
    <w:p w14:paraId="23F4E81C" w14:textId="77777777" w:rsidR="005E3807" w:rsidRPr="005D7987" w:rsidRDefault="005E3807" w:rsidP="005E3807">
      <w:pPr>
        <w:pStyle w:val="Text1"/>
        <w:spacing w:before="100" w:beforeAutospacing="1" w:after="100" w:afterAutospacing="1"/>
        <w:ind w:left="284"/>
        <w:rPr>
          <w:noProof/>
          <w:szCs w:val="24"/>
        </w:rPr>
      </w:pPr>
      <w:r w:rsidRPr="005D7987">
        <w:rPr>
          <w:noProof/>
          <w:szCs w:val="24"/>
        </w:rPr>
        <w:t>For situations described in (a), (c), (d)</w:t>
      </w:r>
      <w:r w:rsidR="00A55867" w:rsidRPr="005D7987">
        <w:rPr>
          <w:noProof/>
          <w:szCs w:val="24"/>
        </w:rPr>
        <w:t>,</w:t>
      </w:r>
      <w:r w:rsidRPr="005D7987">
        <w:rPr>
          <w:noProof/>
          <w:szCs w:val="24"/>
        </w:rPr>
        <w:t xml:space="preserve"> (f), </w:t>
      </w:r>
      <w:r w:rsidR="00A55867" w:rsidRPr="005D7987">
        <w:rPr>
          <w:noProof/>
          <w:szCs w:val="24"/>
        </w:rPr>
        <w:t xml:space="preserve">(g) and (h) </w:t>
      </w:r>
      <w:r w:rsidRPr="005D7987">
        <w:rPr>
          <w:noProof/>
          <w:szCs w:val="24"/>
        </w:rPr>
        <w:t xml:space="preserve">production of a recent extract from the judicial record is required or, failing that, an equivalent document recently issued by a judicial or administrative authority in the country of establishment of the person showing that those requirements are satisfied. </w:t>
      </w:r>
    </w:p>
    <w:p w14:paraId="05793BE4" w14:textId="77777777" w:rsidR="005E3807" w:rsidRPr="005D7987" w:rsidRDefault="005E3807" w:rsidP="005E380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5D798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D798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6FB4969" w14:textId="77777777" w:rsidR="005E3807" w:rsidRPr="005D7987" w:rsidRDefault="005E3807" w:rsidP="005E3807">
      <w:pPr>
        <w:spacing w:before="100" w:beforeAutospacing="1" w:after="100" w:afterAutospacing="1"/>
        <w:jc w:val="both"/>
      </w:pPr>
      <w:r w:rsidRPr="005D7987">
        <w:t>The person is not required to submit the evidence if it has already been submitted for another procurement procedure</w:t>
      </w:r>
      <w:r w:rsidR="00A55867" w:rsidRPr="005D7987">
        <w:t xml:space="preserve"> of the same contracting authority</w:t>
      </w:r>
      <w:r w:rsidR="00A55867" w:rsidRPr="005D7987">
        <w:rPr>
          <w:vertAlign w:val="superscript"/>
        </w:rPr>
        <w:footnoteReference w:id="3"/>
      </w:r>
      <w:r w:rsidRPr="005D7987">
        <w:t xml:space="preserve">. The documents must have been issued no more than one year before the date of their request by the contracting authority and must still be valid at that date. </w:t>
      </w:r>
    </w:p>
    <w:p w14:paraId="413C01BC" w14:textId="77777777" w:rsidR="005E3807" w:rsidRPr="005D7987" w:rsidRDefault="005E3807" w:rsidP="005E3807">
      <w:pPr>
        <w:spacing w:before="100" w:beforeAutospacing="1" w:after="100" w:afterAutospacing="1"/>
        <w:jc w:val="both"/>
      </w:pPr>
      <w:r w:rsidRPr="005D7987">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807" w:rsidRPr="0016702E" w14:paraId="47AD0E31" w14:textId="77777777" w:rsidTr="00A27FDF">
        <w:tc>
          <w:tcPr>
            <w:tcW w:w="4786" w:type="dxa"/>
            <w:shd w:val="clear" w:color="auto" w:fill="auto"/>
          </w:tcPr>
          <w:p w14:paraId="361B52CD" w14:textId="77777777" w:rsidR="005E3807" w:rsidRPr="005D7987" w:rsidRDefault="005E3807" w:rsidP="00A27FDF">
            <w:pPr>
              <w:spacing w:before="100" w:beforeAutospacing="1" w:after="100" w:afterAutospacing="1"/>
              <w:jc w:val="center"/>
              <w:rPr>
                <w:b/>
              </w:rPr>
            </w:pPr>
            <w:r w:rsidRPr="005D7987">
              <w:rPr>
                <w:b/>
              </w:rPr>
              <w:t>Document</w:t>
            </w:r>
          </w:p>
        </w:tc>
        <w:tc>
          <w:tcPr>
            <w:tcW w:w="4678" w:type="dxa"/>
            <w:shd w:val="clear" w:color="auto" w:fill="auto"/>
          </w:tcPr>
          <w:p w14:paraId="51446394" w14:textId="77777777" w:rsidR="005E3807" w:rsidRPr="005D7987" w:rsidRDefault="005E3807" w:rsidP="00A27FDF">
            <w:pPr>
              <w:spacing w:before="100" w:beforeAutospacing="1" w:after="100" w:afterAutospacing="1"/>
              <w:jc w:val="center"/>
              <w:rPr>
                <w:b/>
              </w:rPr>
            </w:pPr>
            <w:r w:rsidRPr="005D7987">
              <w:rPr>
                <w:b/>
              </w:rPr>
              <w:t>Full reference to previous procedure</w:t>
            </w:r>
          </w:p>
        </w:tc>
      </w:tr>
      <w:tr w:rsidR="005E3807" w:rsidRPr="0016702E" w14:paraId="2F3976CE" w14:textId="77777777" w:rsidTr="00A27FDF">
        <w:tc>
          <w:tcPr>
            <w:tcW w:w="4786" w:type="dxa"/>
            <w:shd w:val="clear" w:color="auto" w:fill="auto"/>
          </w:tcPr>
          <w:p w14:paraId="55063714" w14:textId="77777777" w:rsidR="005E3807" w:rsidRPr="005D7987" w:rsidRDefault="005E3807" w:rsidP="00A27FDF">
            <w:pPr>
              <w:spacing w:before="100" w:beforeAutospacing="1" w:after="100" w:afterAutospacing="1"/>
            </w:pPr>
            <w:r w:rsidRPr="005D7987">
              <w:rPr>
                <w:i/>
                <w:highlight w:val="lightGray"/>
              </w:rPr>
              <w:t>Insert as many lines as necessary.</w:t>
            </w:r>
          </w:p>
        </w:tc>
        <w:tc>
          <w:tcPr>
            <w:tcW w:w="4678" w:type="dxa"/>
            <w:shd w:val="clear" w:color="auto" w:fill="auto"/>
          </w:tcPr>
          <w:p w14:paraId="6A7BECD4" w14:textId="77777777" w:rsidR="005E3807" w:rsidRPr="005D7987" w:rsidRDefault="005E3807" w:rsidP="00A27FDF">
            <w:pPr>
              <w:spacing w:before="100" w:beforeAutospacing="1" w:after="100" w:afterAutospacing="1"/>
            </w:pPr>
          </w:p>
        </w:tc>
      </w:tr>
    </w:tbl>
    <w:p w14:paraId="4A8F84FE" w14:textId="77777777" w:rsidR="005E3807" w:rsidRPr="005D7987" w:rsidRDefault="005E3807" w:rsidP="005E3807">
      <w:pPr>
        <w:pStyle w:val="Title"/>
        <w:rPr>
          <w:rFonts w:ascii="Times New Roman" w:hAnsi="Times New Roman"/>
          <w:i/>
          <w:szCs w:val="24"/>
        </w:rPr>
      </w:pPr>
      <w:r w:rsidRPr="005D7987">
        <w:rPr>
          <w:rFonts w:ascii="Times New Roman" w:hAnsi="Times New Roman"/>
          <w:noProof/>
          <w:szCs w:val="24"/>
        </w:rPr>
        <w:t xml:space="preserve">VII </w:t>
      </w:r>
      <w:r w:rsidRPr="005D7987">
        <w:rPr>
          <w:rFonts w:ascii="Times New Roman" w:hAnsi="Times New Roman" w:hint="eastAsia"/>
          <w:noProof/>
          <w:szCs w:val="24"/>
        </w:rPr>
        <w:t>–</w:t>
      </w:r>
      <w:r w:rsidRPr="005D7987">
        <w:rPr>
          <w:rFonts w:ascii="Times New Roman" w:hAnsi="Times New Roman"/>
          <w:noProof/>
          <w:szCs w:val="24"/>
        </w:rPr>
        <w:t xml:space="preserve"> Selection criteria</w:t>
      </w:r>
      <w:r w:rsidRPr="005D7987">
        <w:rPr>
          <w:rFonts w:ascii="Times New Roman" w:hAnsi="Times New Roman"/>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5E3807" w:rsidRPr="0016702E" w14:paraId="5D883B22" w14:textId="77777777" w:rsidTr="00A27FDF">
        <w:tc>
          <w:tcPr>
            <w:tcW w:w="7344" w:type="dxa"/>
            <w:shd w:val="clear" w:color="auto" w:fill="auto"/>
          </w:tcPr>
          <w:p w14:paraId="7EEDDB09" w14:textId="77777777" w:rsidR="005E3807" w:rsidRPr="005D7987" w:rsidRDefault="005E3807" w:rsidP="002F495A">
            <w:pPr>
              <w:numPr>
                <w:ilvl w:val="0"/>
                <w:numId w:val="14"/>
              </w:numPr>
              <w:spacing w:before="120" w:after="120"/>
              <w:jc w:val="both"/>
              <w:rPr>
                <w:noProof/>
              </w:rPr>
            </w:pPr>
            <w:r w:rsidRPr="005D7987">
              <w:rPr>
                <w:noProof/>
              </w:rPr>
              <w:t>declares that the above-mentioned person complies with the selection criteria applicable to it individually as provided in the tender specifications:</w:t>
            </w:r>
          </w:p>
        </w:tc>
        <w:tc>
          <w:tcPr>
            <w:tcW w:w="704" w:type="dxa"/>
            <w:shd w:val="clear" w:color="auto" w:fill="auto"/>
          </w:tcPr>
          <w:p w14:paraId="05F8F583" w14:textId="77777777" w:rsidR="005E3807" w:rsidRPr="005D7987" w:rsidRDefault="005E3807" w:rsidP="00A27FDF">
            <w:pPr>
              <w:spacing w:before="240" w:after="120"/>
              <w:jc w:val="both"/>
              <w:rPr>
                <w:noProof/>
              </w:rPr>
            </w:pPr>
            <w:r w:rsidRPr="005D7987">
              <w:rPr>
                <w:noProof/>
              </w:rPr>
              <w:t>YES</w:t>
            </w:r>
          </w:p>
        </w:tc>
        <w:tc>
          <w:tcPr>
            <w:tcW w:w="608" w:type="dxa"/>
            <w:shd w:val="clear" w:color="auto" w:fill="auto"/>
          </w:tcPr>
          <w:p w14:paraId="3AEF6534" w14:textId="77777777" w:rsidR="005E3807" w:rsidRPr="005D7987" w:rsidRDefault="005E3807" w:rsidP="00A27FDF">
            <w:pPr>
              <w:spacing w:before="240" w:after="120"/>
              <w:jc w:val="both"/>
              <w:rPr>
                <w:noProof/>
              </w:rPr>
            </w:pPr>
            <w:r w:rsidRPr="005D7987">
              <w:rPr>
                <w:noProof/>
              </w:rPr>
              <w:t>NO</w:t>
            </w:r>
          </w:p>
        </w:tc>
        <w:tc>
          <w:tcPr>
            <w:tcW w:w="630" w:type="dxa"/>
            <w:shd w:val="clear" w:color="auto" w:fill="auto"/>
          </w:tcPr>
          <w:p w14:paraId="0D0A41BA" w14:textId="77777777" w:rsidR="005E3807" w:rsidRPr="005D7987" w:rsidRDefault="005E3807" w:rsidP="00A27FDF">
            <w:pPr>
              <w:spacing w:before="240" w:after="120"/>
              <w:jc w:val="both"/>
              <w:rPr>
                <w:noProof/>
              </w:rPr>
            </w:pPr>
            <w:r w:rsidRPr="005D7987">
              <w:rPr>
                <w:noProof/>
              </w:rPr>
              <w:t>N/A</w:t>
            </w:r>
          </w:p>
        </w:tc>
      </w:tr>
      <w:tr w:rsidR="005E3807" w:rsidRPr="0016702E" w14:paraId="06FFEE45" w14:textId="77777777" w:rsidTr="00A27FDF">
        <w:tc>
          <w:tcPr>
            <w:tcW w:w="7344" w:type="dxa"/>
            <w:shd w:val="clear" w:color="auto" w:fill="auto"/>
          </w:tcPr>
          <w:p w14:paraId="4E517AE4" w14:textId="1ECF51EA" w:rsidR="005E3807" w:rsidRPr="005D7987" w:rsidRDefault="005E3807" w:rsidP="005E220C">
            <w:pPr>
              <w:pStyle w:val="Text1"/>
              <w:numPr>
                <w:ilvl w:val="0"/>
                <w:numId w:val="15"/>
              </w:numPr>
              <w:spacing w:before="40" w:after="40"/>
              <w:rPr>
                <w:noProof/>
                <w:szCs w:val="24"/>
              </w:rPr>
            </w:pPr>
            <w:r w:rsidRPr="005D7987">
              <w:rPr>
                <w:noProof/>
                <w:szCs w:val="24"/>
              </w:rPr>
              <w:t>It has the legal and regulatory capacity to pursue the professional activity needed for performing the contract as required in the tender specifications;</w:t>
            </w:r>
          </w:p>
        </w:tc>
        <w:tc>
          <w:tcPr>
            <w:tcW w:w="704" w:type="dxa"/>
            <w:shd w:val="clear" w:color="auto" w:fill="auto"/>
          </w:tcPr>
          <w:p w14:paraId="26E45A1E"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08" w:type="dxa"/>
            <w:shd w:val="clear" w:color="auto" w:fill="auto"/>
          </w:tcPr>
          <w:p w14:paraId="2161E9D9"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tcPr>
          <w:p w14:paraId="4454DF1B"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43E9D8AB" w14:textId="77777777" w:rsidTr="00A27FDF">
        <w:tc>
          <w:tcPr>
            <w:tcW w:w="7344" w:type="dxa"/>
            <w:shd w:val="clear" w:color="auto" w:fill="auto"/>
          </w:tcPr>
          <w:p w14:paraId="23649047" w14:textId="0DDA0F1E" w:rsidR="005E3807" w:rsidRPr="005D7987" w:rsidRDefault="005E3807" w:rsidP="005E220C">
            <w:pPr>
              <w:pStyle w:val="Text1"/>
              <w:numPr>
                <w:ilvl w:val="0"/>
                <w:numId w:val="15"/>
              </w:numPr>
              <w:spacing w:before="40" w:after="40"/>
              <w:rPr>
                <w:noProof/>
                <w:szCs w:val="24"/>
              </w:rPr>
            </w:pPr>
            <w:r w:rsidRPr="005D7987">
              <w:rPr>
                <w:noProof/>
                <w:szCs w:val="24"/>
              </w:rPr>
              <w:t>It fulfills the applicable economic and financial criteria indicated in the tender specifications;</w:t>
            </w:r>
          </w:p>
        </w:tc>
        <w:tc>
          <w:tcPr>
            <w:tcW w:w="704" w:type="dxa"/>
            <w:shd w:val="clear" w:color="auto" w:fill="auto"/>
          </w:tcPr>
          <w:p w14:paraId="63FFCB02"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08" w:type="dxa"/>
            <w:shd w:val="clear" w:color="auto" w:fill="auto"/>
          </w:tcPr>
          <w:p w14:paraId="671BF60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tcPr>
          <w:p w14:paraId="36BB20E6"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r w:rsidR="005E3807" w:rsidRPr="0016702E" w14:paraId="5C50C646" w14:textId="77777777" w:rsidTr="00A27FDF">
        <w:tc>
          <w:tcPr>
            <w:tcW w:w="7344" w:type="dxa"/>
            <w:shd w:val="clear" w:color="auto" w:fill="auto"/>
          </w:tcPr>
          <w:p w14:paraId="7D29EC0A" w14:textId="37B6EB97" w:rsidR="005E3807" w:rsidRPr="005D7987" w:rsidRDefault="005E3807" w:rsidP="005E220C">
            <w:pPr>
              <w:pStyle w:val="Text1"/>
              <w:numPr>
                <w:ilvl w:val="0"/>
                <w:numId w:val="15"/>
              </w:numPr>
              <w:spacing w:before="40" w:after="40"/>
              <w:rPr>
                <w:noProof/>
                <w:szCs w:val="24"/>
              </w:rPr>
            </w:pPr>
            <w:r w:rsidRPr="005D7987">
              <w:rPr>
                <w:noProof/>
                <w:szCs w:val="24"/>
              </w:rPr>
              <w:t>It fulfills the applicable technical and professional criteria indicated in the tender specifications.</w:t>
            </w:r>
          </w:p>
        </w:tc>
        <w:tc>
          <w:tcPr>
            <w:tcW w:w="704" w:type="dxa"/>
            <w:shd w:val="clear" w:color="auto" w:fill="auto"/>
          </w:tcPr>
          <w:p w14:paraId="4C512641"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08" w:type="dxa"/>
            <w:shd w:val="clear" w:color="auto" w:fill="auto"/>
          </w:tcPr>
          <w:p w14:paraId="603577BC"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tcPr>
          <w:p w14:paraId="7E3F4541"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21D3486B" w14:textId="77777777" w:rsidR="005E3807" w:rsidRPr="005D7987" w:rsidRDefault="005E3807" w:rsidP="005E3807"/>
    <w:p w14:paraId="7DE24074" w14:textId="77777777" w:rsidR="005E3807" w:rsidRPr="005D7987" w:rsidRDefault="005E3807" w:rsidP="005E3807"/>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E3807" w:rsidRPr="0016702E" w14:paraId="47969022" w14:textId="77777777" w:rsidTr="00A27FDF">
        <w:tc>
          <w:tcPr>
            <w:tcW w:w="7344" w:type="dxa"/>
            <w:shd w:val="clear" w:color="auto" w:fill="auto"/>
          </w:tcPr>
          <w:p w14:paraId="6BCFA676" w14:textId="77777777" w:rsidR="005E3807" w:rsidRPr="005D7987" w:rsidRDefault="005E3807" w:rsidP="002F495A">
            <w:pPr>
              <w:numPr>
                <w:ilvl w:val="0"/>
                <w:numId w:val="14"/>
              </w:numPr>
              <w:spacing w:before="120" w:after="120"/>
              <w:jc w:val="both"/>
              <w:rPr>
                <w:noProof/>
              </w:rPr>
            </w:pPr>
            <w:r w:rsidRPr="005D7987">
              <w:rPr>
                <w:noProof/>
              </w:rPr>
              <w:t xml:space="preserve"> if the above-mentioned person is the </w:t>
            </w:r>
            <w:r w:rsidRPr="005D7987">
              <w:rPr>
                <w:b/>
                <w:noProof/>
              </w:rPr>
              <w:t>sole tenderer</w:t>
            </w:r>
            <w:r w:rsidRPr="005D7987">
              <w:rPr>
                <w:noProof/>
              </w:rPr>
              <w:t xml:space="preserve"> or the </w:t>
            </w:r>
            <w:r w:rsidRPr="005D7987">
              <w:rPr>
                <w:b/>
                <w:noProof/>
              </w:rPr>
              <w:t>leader in case of joint tender</w:t>
            </w:r>
            <w:r w:rsidRPr="005D7987">
              <w:rPr>
                <w:noProof/>
              </w:rPr>
              <w:t>, declares that:</w:t>
            </w:r>
          </w:p>
        </w:tc>
        <w:tc>
          <w:tcPr>
            <w:tcW w:w="704" w:type="dxa"/>
            <w:shd w:val="clear" w:color="auto" w:fill="auto"/>
          </w:tcPr>
          <w:p w14:paraId="1831F4AE" w14:textId="77777777" w:rsidR="005E3807" w:rsidRPr="005D7987" w:rsidRDefault="005E3807" w:rsidP="00A27FDF">
            <w:pPr>
              <w:spacing w:before="240" w:after="120"/>
              <w:jc w:val="both"/>
              <w:rPr>
                <w:noProof/>
              </w:rPr>
            </w:pPr>
            <w:r w:rsidRPr="005D7987">
              <w:rPr>
                <w:noProof/>
              </w:rPr>
              <w:t>YES</w:t>
            </w:r>
          </w:p>
        </w:tc>
        <w:tc>
          <w:tcPr>
            <w:tcW w:w="602" w:type="dxa"/>
            <w:shd w:val="clear" w:color="auto" w:fill="auto"/>
          </w:tcPr>
          <w:p w14:paraId="4F847BC5" w14:textId="77777777" w:rsidR="005E3807" w:rsidRPr="005D7987" w:rsidRDefault="005E3807" w:rsidP="00A27FDF">
            <w:pPr>
              <w:spacing w:before="240" w:after="120"/>
              <w:jc w:val="both"/>
              <w:rPr>
                <w:noProof/>
              </w:rPr>
            </w:pPr>
            <w:r w:rsidRPr="005D7987">
              <w:rPr>
                <w:noProof/>
              </w:rPr>
              <w:t>NO</w:t>
            </w:r>
          </w:p>
        </w:tc>
        <w:tc>
          <w:tcPr>
            <w:tcW w:w="636" w:type="dxa"/>
            <w:gridSpan w:val="2"/>
            <w:shd w:val="clear" w:color="auto" w:fill="auto"/>
          </w:tcPr>
          <w:p w14:paraId="288D1620" w14:textId="77777777" w:rsidR="005E3807" w:rsidRPr="005D7987" w:rsidRDefault="005E3807" w:rsidP="00A27FDF">
            <w:pPr>
              <w:spacing w:before="240" w:after="120"/>
              <w:jc w:val="both"/>
              <w:rPr>
                <w:noProof/>
              </w:rPr>
            </w:pPr>
            <w:r w:rsidRPr="005D7987">
              <w:rPr>
                <w:noProof/>
              </w:rPr>
              <w:t>N/A</w:t>
            </w:r>
          </w:p>
        </w:tc>
      </w:tr>
      <w:tr w:rsidR="005E3807" w:rsidRPr="0016702E" w14:paraId="0CF5AA34" w14:textId="77777777" w:rsidTr="00A27FDF">
        <w:tc>
          <w:tcPr>
            <w:tcW w:w="7344" w:type="dxa"/>
            <w:shd w:val="clear" w:color="auto" w:fill="auto"/>
          </w:tcPr>
          <w:p w14:paraId="76243F44" w14:textId="77777777" w:rsidR="005E3807" w:rsidRPr="005D7987" w:rsidRDefault="005E3807" w:rsidP="002F495A">
            <w:pPr>
              <w:pStyle w:val="Text1"/>
              <w:numPr>
                <w:ilvl w:val="0"/>
                <w:numId w:val="15"/>
              </w:numPr>
              <w:spacing w:before="40" w:after="40"/>
              <w:rPr>
                <w:noProof/>
                <w:szCs w:val="24"/>
              </w:rPr>
            </w:pPr>
            <w:r w:rsidRPr="005D7987">
              <w:rPr>
                <w:noProof/>
                <w:szCs w:val="24"/>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679C0884"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08" w:type="dxa"/>
            <w:gridSpan w:val="2"/>
            <w:shd w:val="clear" w:color="auto" w:fill="auto"/>
          </w:tcPr>
          <w:p w14:paraId="67FF90AF"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c>
          <w:tcPr>
            <w:tcW w:w="630" w:type="dxa"/>
          </w:tcPr>
          <w:p w14:paraId="525E7685" w14:textId="77777777" w:rsidR="005E3807" w:rsidRPr="005D7987" w:rsidRDefault="005E3807" w:rsidP="00A27FDF">
            <w:pPr>
              <w:spacing w:before="240" w:after="120"/>
              <w:jc w:val="both"/>
              <w:rPr>
                <w:noProof/>
              </w:rPr>
            </w:pPr>
            <w:r w:rsidRPr="005D7987">
              <w:rPr>
                <w:noProof/>
              </w:rPr>
              <w:fldChar w:fldCharType="begin">
                <w:ffData>
                  <w:name w:val="Check1"/>
                  <w:enabled/>
                  <w:calcOnExit w:val="0"/>
                  <w:checkBox>
                    <w:sizeAuto/>
                    <w:default w:val="0"/>
                  </w:checkBox>
                </w:ffData>
              </w:fldChar>
            </w:r>
            <w:r w:rsidRPr="005D7987">
              <w:rPr>
                <w:noProof/>
              </w:rPr>
              <w:instrText xml:space="preserve"> FORMCHECKBOX </w:instrText>
            </w:r>
            <w:r w:rsidR="00BB5014">
              <w:rPr>
                <w:noProof/>
              </w:rPr>
            </w:r>
            <w:r w:rsidR="00BB5014">
              <w:rPr>
                <w:noProof/>
              </w:rPr>
              <w:fldChar w:fldCharType="separate"/>
            </w:r>
            <w:r w:rsidRPr="005D7987">
              <w:rPr>
                <w:noProof/>
              </w:rPr>
              <w:fldChar w:fldCharType="end"/>
            </w:r>
          </w:p>
        </w:tc>
      </w:tr>
    </w:tbl>
    <w:p w14:paraId="478F5738" w14:textId="77777777" w:rsidR="005E3807" w:rsidRPr="005D7987" w:rsidRDefault="005E3807" w:rsidP="005E3807">
      <w:pPr>
        <w:pStyle w:val="Title"/>
        <w:rPr>
          <w:rFonts w:ascii="Times New Roman" w:hAnsi="Times New Roman"/>
          <w:i/>
          <w:szCs w:val="24"/>
        </w:rPr>
      </w:pPr>
      <w:r w:rsidRPr="005D7987">
        <w:rPr>
          <w:rFonts w:ascii="Times New Roman" w:hAnsi="Times New Roman"/>
          <w:noProof/>
          <w:szCs w:val="24"/>
        </w:rPr>
        <w:t xml:space="preserve">VIII </w:t>
      </w:r>
      <w:r w:rsidRPr="005D7987">
        <w:rPr>
          <w:rFonts w:ascii="Times New Roman" w:hAnsi="Times New Roman" w:hint="eastAsia"/>
          <w:noProof/>
          <w:szCs w:val="24"/>
        </w:rPr>
        <w:t>–</w:t>
      </w:r>
      <w:r w:rsidRPr="005D7987">
        <w:rPr>
          <w:rFonts w:ascii="Times New Roman" w:hAnsi="Times New Roman"/>
          <w:noProof/>
          <w:szCs w:val="24"/>
        </w:rPr>
        <w:t xml:space="preserve"> Evidence for selection</w:t>
      </w:r>
    </w:p>
    <w:p w14:paraId="6111E060" w14:textId="77777777" w:rsidR="005E3807" w:rsidRPr="005D7987" w:rsidRDefault="005E3807" w:rsidP="005E3807">
      <w:pPr>
        <w:spacing w:before="100" w:beforeAutospacing="1" w:after="100" w:afterAutospacing="1"/>
        <w:jc w:val="both"/>
        <w:rPr>
          <w:noProof/>
        </w:rPr>
      </w:pPr>
      <w:r w:rsidRPr="005D7987">
        <w:lastRenderedPageBreak/>
        <w:t xml:space="preserve">The signatory declares </w:t>
      </w:r>
      <w:r w:rsidRPr="005D7987">
        <w:rPr>
          <w:noProof/>
        </w:rPr>
        <w:t>that the above-mentioned person is able to provide the necessary supporting documents listed in the relevant sections of the tender specifications and which are not available electronically upon request and without delay.</w:t>
      </w:r>
    </w:p>
    <w:p w14:paraId="05D9A556" w14:textId="77777777" w:rsidR="005E3807" w:rsidRPr="005D7987" w:rsidRDefault="005E3807" w:rsidP="005E3807">
      <w:pPr>
        <w:spacing w:before="100" w:beforeAutospacing="1" w:after="100" w:afterAutospacing="1"/>
        <w:jc w:val="both"/>
      </w:pPr>
      <w:r w:rsidRPr="005D7987">
        <w:t>The person is not required to submit the evidence if it has already been submitted for another procurement procedure</w:t>
      </w:r>
      <w:r w:rsidR="00A55867" w:rsidRPr="005D7987">
        <w:t xml:space="preserve"> of the same contracting authority</w:t>
      </w:r>
      <w:r w:rsidR="00A55867" w:rsidRPr="005D7987">
        <w:rPr>
          <w:vertAlign w:val="superscript"/>
        </w:rPr>
        <w:footnoteReference w:id="4"/>
      </w:r>
      <w:r w:rsidRPr="005D7987">
        <w:t xml:space="preserve">. The documents must have been issued no more than one year before the date of their request by the contracting authority and must still be valid at that date. </w:t>
      </w:r>
    </w:p>
    <w:p w14:paraId="09A87B49" w14:textId="77777777" w:rsidR="005E3807" w:rsidRPr="005D7987" w:rsidRDefault="005E3807" w:rsidP="005E3807">
      <w:pPr>
        <w:spacing w:before="100" w:beforeAutospacing="1" w:after="100" w:afterAutospacing="1"/>
        <w:jc w:val="both"/>
      </w:pPr>
      <w:r w:rsidRPr="005D7987">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807" w:rsidRPr="0016702E" w14:paraId="09ABA08A" w14:textId="77777777" w:rsidTr="00A27FDF">
        <w:tc>
          <w:tcPr>
            <w:tcW w:w="4786" w:type="dxa"/>
            <w:shd w:val="clear" w:color="auto" w:fill="auto"/>
          </w:tcPr>
          <w:p w14:paraId="1F8E44FC" w14:textId="77777777" w:rsidR="005E3807" w:rsidRPr="005D7987" w:rsidRDefault="005E3807" w:rsidP="00A27FDF">
            <w:pPr>
              <w:spacing w:before="100" w:beforeAutospacing="1" w:after="100" w:afterAutospacing="1"/>
              <w:jc w:val="center"/>
              <w:rPr>
                <w:b/>
              </w:rPr>
            </w:pPr>
            <w:r w:rsidRPr="005D7987">
              <w:rPr>
                <w:b/>
              </w:rPr>
              <w:t>Document</w:t>
            </w:r>
          </w:p>
        </w:tc>
        <w:tc>
          <w:tcPr>
            <w:tcW w:w="4678" w:type="dxa"/>
            <w:shd w:val="clear" w:color="auto" w:fill="auto"/>
          </w:tcPr>
          <w:p w14:paraId="2FF94A7E" w14:textId="77777777" w:rsidR="005E3807" w:rsidRPr="005D7987" w:rsidRDefault="005E3807" w:rsidP="00A27FDF">
            <w:pPr>
              <w:spacing w:before="100" w:beforeAutospacing="1" w:after="100" w:afterAutospacing="1"/>
              <w:jc w:val="center"/>
              <w:rPr>
                <w:b/>
              </w:rPr>
            </w:pPr>
            <w:r w:rsidRPr="005D7987">
              <w:rPr>
                <w:b/>
              </w:rPr>
              <w:t>Full reference to previous procedure</w:t>
            </w:r>
          </w:p>
        </w:tc>
      </w:tr>
      <w:tr w:rsidR="005E3807" w:rsidRPr="0016702E" w14:paraId="5EB12F93" w14:textId="77777777" w:rsidTr="00A27FDF">
        <w:tc>
          <w:tcPr>
            <w:tcW w:w="4786" w:type="dxa"/>
            <w:shd w:val="clear" w:color="auto" w:fill="auto"/>
          </w:tcPr>
          <w:p w14:paraId="183A7CAB" w14:textId="77777777" w:rsidR="005E3807" w:rsidRPr="005D7987" w:rsidRDefault="005E3807" w:rsidP="00A27FDF">
            <w:pPr>
              <w:spacing w:before="100" w:beforeAutospacing="1" w:after="100" w:afterAutospacing="1"/>
            </w:pPr>
            <w:r w:rsidRPr="005D7987">
              <w:rPr>
                <w:i/>
                <w:highlight w:val="lightGray"/>
              </w:rPr>
              <w:t>Insert as many lines as necessary.</w:t>
            </w:r>
          </w:p>
        </w:tc>
        <w:tc>
          <w:tcPr>
            <w:tcW w:w="4678" w:type="dxa"/>
            <w:shd w:val="clear" w:color="auto" w:fill="auto"/>
          </w:tcPr>
          <w:p w14:paraId="16CD57E2" w14:textId="77777777" w:rsidR="005E3807" w:rsidRPr="005D7987" w:rsidRDefault="005E3807" w:rsidP="00A27FDF">
            <w:pPr>
              <w:spacing w:before="100" w:beforeAutospacing="1" w:after="100" w:afterAutospacing="1"/>
            </w:pPr>
          </w:p>
        </w:tc>
      </w:tr>
    </w:tbl>
    <w:p w14:paraId="4E7AF644" w14:textId="77777777" w:rsidR="005E3807" w:rsidRPr="005D7987" w:rsidRDefault="005E3807" w:rsidP="005E3807">
      <w:pPr>
        <w:spacing w:before="40" w:after="40"/>
        <w:jc w:val="both"/>
        <w:rPr>
          <w:noProof/>
        </w:rPr>
      </w:pPr>
    </w:p>
    <w:p w14:paraId="5E465CB4" w14:textId="77777777" w:rsidR="005E3807" w:rsidRPr="005D7987" w:rsidRDefault="005E3807" w:rsidP="005E3807">
      <w:pPr>
        <w:spacing w:before="40" w:after="40"/>
        <w:jc w:val="both"/>
        <w:rPr>
          <w:b/>
          <w:i/>
          <w:noProof/>
        </w:rPr>
      </w:pPr>
      <w:r w:rsidRPr="005D7987">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C5F429A" w14:textId="77777777" w:rsidR="005E3807" w:rsidRPr="005D7987" w:rsidRDefault="005E3807" w:rsidP="005E3807">
      <w:pPr>
        <w:spacing w:before="40" w:after="40"/>
        <w:jc w:val="both"/>
        <w:rPr>
          <w:noProof/>
        </w:rPr>
      </w:pPr>
    </w:p>
    <w:p w14:paraId="7D8AE648" w14:textId="77777777" w:rsidR="005E3807" w:rsidRPr="005D7987" w:rsidRDefault="005E3807" w:rsidP="005E3807">
      <w:pPr>
        <w:tabs>
          <w:tab w:val="left" w:pos="4395"/>
          <w:tab w:val="left" w:pos="7797"/>
        </w:tabs>
        <w:spacing w:before="40" w:after="40"/>
        <w:jc w:val="both"/>
        <w:rPr>
          <w:noProof/>
        </w:rPr>
      </w:pPr>
      <w:r w:rsidRPr="005D7987">
        <w:rPr>
          <w:noProof/>
        </w:rPr>
        <w:t>Full name</w:t>
      </w:r>
      <w:r w:rsidRPr="005D7987">
        <w:rPr>
          <w:noProof/>
        </w:rPr>
        <w:tab/>
        <w:t>Date</w:t>
      </w:r>
      <w:r w:rsidRPr="005D7987">
        <w:rPr>
          <w:noProof/>
        </w:rPr>
        <w:tab/>
        <w:t>Signature</w:t>
      </w:r>
    </w:p>
    <w:p w14:paraId="54B15E47" w14:textId="77777777" w:rsidR="005E3807" w:rsidRPr="005D7987" w:rsidRDefault="005E3807" w:rsidP="00724C09">
      <w:pPr>
        <w:spacing w:before="120" w:after="120"/>
        <w:jc w:val="both"/>
        <w:rPr>
          <w:noProof/>
        </w:rPr>
      </w:pPr>
    </w:p>
    <w:p w14:paraId="337AA907" w14:textId="77777777" w:rsidR="00BD0B76" w:rsidRPr="005D7987" w:rsidRDefault="00BD0B76">
      <w:pPr>
        <w:spacing w:line="238" w:lineRule="auto"/>
        <w:rPr>
          <w:rStyle w:val="Logo"/>
        </w:rPr>
        <w:sectPr w:rsidR="00BD0B76" w:rsidRPr="005D7987" w:rsidSect="00727767">
          <w:headerReference w:type="default" r:id="rId12"/>
          <w:headerReference w:type="first" r:id="rId13"/>
          <w:footerReference w:type="first" r:id="rId14"/>
          <w:pgSz w:w="11907" w:h="16840" w:code="9"/>
          <w:pgMar w:top="1021" w:right="1418" w:bottom="737" w:left="1418" w:header="567" w:footer="720" w:gutter="0"/>
          <w:cols w:space="708"/>
          <w:noEndnote/>
          <w:docGrid w:linePitch="381"/>
        </w:sectPr>
      </w:pPr>
    </w:p>
    <w:p w14:paraId="3FD02A79" w14:textId="77777777" w:rsidR="00BD0B76" w:rsidRPr="005D7987" w:rsidRDefault="00BD0B76">
      <w:pPr>
        <w:jc w:val="center"/>
        <w:rPr>
          <w:b/>
        </w:rPr>
      </w:pPr>
      <w:r w:rsidRPr="005D7987">
        <w:rPr>
          <w:b/>
        </w:rPr>
        <w:lastRenderedPageBreak/>
        <w:t>Annex [V]:</w:t>
      </w:r>
      <w:r w:rsidRPr="005D7987">
        <w:t xml:space="preserve"> </w:t>
      </w:r>
      <w:r w:rsidR="00F14EB6" w:rsidRPr="005D7987">
        <w:rPr>
          <w:b/>
        </w:rPr>
        <w:t>Information sheet concerning</w:t>
      </w:r>
      <w:r w:rsidR="00347D14" w:rsidRPr="005D7987">
        <w:rPr>
          <w:b/>
        </w:rPr>
        <w:t xml:space="preserve"> </w:t>
      </w:r>
      <w:r w:rsidR="00941CE4" w:rsidRPr="005D7987">
        <w:rPr>
          <w:b/>
        </w:rPr>
        <w:t xml:space="preserve">groups </w:t>
      </w:r>
      <w:r w:rsidRPr="005D7987">
        <w:rPr>
          <w:b/>
        </w:rPr>
        <w:t>of economic operators</w:t>
      </w:r>
      <w:r w:rsidR="00A24DED" w:rsidRPr="005D7987">
        <w:rPr>
          <w:b/>
        </w:rPr>
        <w:t xml:space="preserve"> </w:t>
      </w:r>
    </w:p>
    <w:p w14:paraId="2FFA3661" w14:textId="77777777" w:rsidR="00BD0B76" w:rsidRPr="005D7987" w:rsidRDefault="00BD0B76">
      <w:pPr>
        <w:jc w:val="center"/>
        <w:rPr>
          <w:b/>
        </w:rPr>
      </w:pPr>
    </w:p>
    <w:p w14:paraId="2D04F996" w14:textId="77777777" w:rsidR="00BD0B76" w:rsidRPr="005D7987" w:rsidRDefault="00BD0B76">
      <w:pPr>
        <w:rPr>
          <w:b/>
        </w:rPr>
      </w:pPr>
    </w:p>
    <w:p w14:paraId="32E7BADF" w14:textId="77777777" w:rsidR="00BD0B76" w:rsidRPr="005D7987" w:rsidRDefault="00BD0B76">
      <w:r w:rsidRPr="005D7987">
        <w:rPr>
          <w:b/>
        </w:rPr>
        <w:t xml:space="preserve">Official name of the member authorised by the </w:t>
      </w:r>
      <w:r w:rsidR="00941CE4" w:rsidRPr="005D7987">
        <w:rPr>
          <w:b/>
        </w:rPr>
        <w:t>group</w:t>
      </w:r>
      <w:r w:rsidRPr="005D7987">
        <w:rPr>
          <w:rStyle w:val="FootnoteReference"/>
          <w:b/>
        </w:rPr>
        <w:footnoteReference w:id="5"/>
      </w:r>
      <w:r w:rsidRPr="005D7987">
        <w:rPr>
          <w:b/>
        </w:rPr>
        <w:t>:</w:t>
      </w:r>
      <w:r w:rsidRPr="005D7987">
        <w:br/>
        <w:t>...................................................................................................................................................</w:t>
      </w:r>
    </w:p>
    <w:p w14:paraId="7EF8CC82" w14:textId="77777777" w:rsidR="00BD0B76" w:rsidRPr="005D7987" w:rsidRDefault="00BD0B76"/>
    <w:p w14:paraId="29CA8CB7" w14:textId="27C49C9C" w:rsidR="00BD0B76" w:rsidRPr="005D7987" w:rsidRDefault="00BD0B76">
      <w:r w:rsidRPr="005D7987">
        <w:rPr>
          <w:b/>
        </w:rPr>
        <w:t>Official address:</w:t>
      </w:r>
      <w:r w:rsidRPr="005D7987">
        <w:br/>
        <w:t>....................................................................................................................................................</w:t>
      </w:r>
    </w:p>
    <w:p w14:paraId="5A851B20" w14:textId="77777777" w:rsidR="00BD0B76" w:rsidRPr="005D7987" w:rsidRDefault="00BD0B76"/>
    <w:p w14:paraId="3F6E81E0" w14:textId="325FB2E2" w:rsidR="00BD0B76" w:rsidRPr="005D7987" w:rsidRDefault="00BD0B76">
      <w:r w:rsidRPr="005D7987">
        <w:rPr>
          <w:b/>
        </w:rPr>
        <w:t xml:space="preserve">Legal form of the </w:t>
      </w:r>
      <w:r w:rsidR="00941CE4" w:rsidRPr="005D7987">
        <w:rPr>
          <w:b/>
        </w:rPr>
        <w:t>group</w:t>
      </w:r>
      <w:r w:rsidRPr="005D7987">
        <w:rPr>
          <w:rStyle w:val="FootnoteReference"/>
          <w:b/>
        </w:rPr>
        <w:footnoteReference w:id="6"/>
      </w:r>
      <w:r w:rsidRPr="005D7987">
        <w:rPr>
          <w:b/>
        </w:rPr>
        <w:t>:</w:t>
      </w:r>
      <w:r w:rsidRPr="005D7987">
        <w:t xml:space="preserve"> ....................................................................................................................................................</w:t>
      </w:r>
    </w:p>
    <w:p w14:paraId="028EE3BD" w14:textId="77777777" w:rsidR="00BD0B76" w:rsidRPr="005D7987" w:rsidRDefault="00BD0B76">
      <w:pPr>
        <w:jc w:val="both"/>
      </w:pPr>
    </w:p>
    <w:p w14:paraId="3EC38E38" w14:textId="77777777" w:rsidR="00BD0B76" w:rsidRPr="005D7987" w:rsidRDefault="00BD0B76">
      <w:pPr>
        <w:jc w:val="both"/>
      </w:pPr>
      <w:r w:rsidRPr="005D7987">
        <w:t xml:space="preserve">I, the undersigned, Mr/Ms ........................................., representing the authorised representative of the </w:t>
      </w:r>
      <w:r w:rsidR="00941CE4" w:rsidRPr="005D7987">
        <w:t>group</w:t>
      </w:r>
      <w:r w:rsidR="00350C13" w:rsidRPr="005D7987">
        <w:t xml:space="preserve"> </w:t>
      </w:r>
      <w:r w:rsidRPr="005D7987">
        <w:t xml:space="preserve">of operators submitting this tender, hereby declare that I have noted the conditions laid down by the European Parliament for submission of a tender by a </w:t>
      </w:r>
      <w:r w:rsidR="00941CE4" w:rsidRPr="005D7987">
        <w:t>group</w:t>
      </w:r>
      <w:r w:rsidRPr="005D7987">
        <w:t xml:space="preserve"> and that the submission of a tender and the signing of this declaration imply acceptance of those conditions:</w:t>
      </w:r>
    </w:p>
    <w:p w14:paraId="6F33DBE6" w14:textId="77777777" w:rsidR="00BD0B76" w:rsidRPr="005D7987" w:rsidRDefault="00BD0B76">
      <w:pPr>
        <w:jc w:val="both"/>
      </w:pPr>
    </w:p>
    <w:p w14:paraId="33880A6E" w14:textId="77777777" w:rsidR="00BD0B76" w:rsidRPr="005D7987" w:rsidRDefault="00BD0B76">
      <w:pPr>
        <w:jc w:val="both"/>
      </w:pPr>
      <w:r w:rsidRPr="005D7987">
        <w:t xml:space="preserve">‘The </w:t>
      </w:r>
      <w:r w:rsidR="00941CE4" w:rsidRPr="005D7987">
        <w:t>group</w:t>
      </w:r>
      <w:r w:rsidRPr="005D7987">
        <w:t xml:space="preserve"> of economic operators shall furnish proof of its legal form in the tender. This may take one of the following forms:</w:t>
      </w:r>
    </w:p>
    <w:p w14:paraId="0504EBD1" w14:textId="77777777" w:rsidR="00BD0B76" w:rsidRPr="005D7987" w:rsidRDefault="00BD0B76">
      <w:pPr>
        <w:jc w:val="both"/>
      </w:pPr>
    </w:p>
    <w:p w14:paraId="28D759D7" w14:textId="77777777" w:rsidR="00BD0B76" w:rsidRPr="005D7987" w:rsidRDefault="00BD0B76">
      <w:pPr>
        <w:ind w:firstLine="540"/>
        <w:jc w:val="both"/>
      </w:pPr>
      <w:r w:rsidRPr="005D7987">
        <w:t>-</w:t>
      </w:r>
      <w:r w:rsidRPr="005D7987">
        <w:tab/>
        <w:t>an entity with legal personality recognised by a Member State;</w:t>
      </w:r>
    </w:p>
    <w:p w14:paraId="689E4753" w14:textId="77777777" w:rsidR="00BD0B76" w:rsidRPr="005D7987" w:rsidRDefault="00BD0B76">
      <w:pPr>
        <w:ind w:left="720" w:hanging="180"/>
        <w:jc w:val="both"/>
      </w:pPr>
      <w:r w:rsidRPr="005D7987">
        <w:t>-</w:t>
      </w:r>
      <w:r w:rsidRPr="005D7987">
        <w:tab/>
        <w:t xml:space="preserve">an entity without legal personality but offering sufficient protection of the European Parliament’s contractual interests (depending on the Member State concerned, this may be, for example, a </w:t>
      </w:r>
      <w:r w:rsidR="00941CE4" w:rsidRPr="005D7987">
        <w:t>group</w:t>
      </w:r>
      <w:r w:rsidRPr="005D7987">
        <w:t xml:space="preserve"> or a temporary association);</w:t>
      </w:r>
    </w:p>
    <w:p w14:paraId="1B231A2A" w14:textId="77777777" w:rsidR="00BD0B76" w:rsidRPr="005D7987" w:rsidRDefault="00BD0B76">
      <w:pPr>
        <w:ind w:left="720" w:hanging="180"/>
        <w:jc w:val="both"/>
      </w:pPr>
      <w:r w:rsidRPr="005D7987">
        <w:t>-</w:t>
      </w:r>
      <w:r w:rsidRPr="005D7987">
        <w:tab/>
        <w:t xml:space="preserve">the signature by all the partners of a type of 'power of attorney' or equivalent document confirming a form of cooperation. </w:t>
      </w:r>
    </w:p>
    <w:p w14:paraId="2CAF7D06" w14:textId="77777777" w:rsidR="00BD0B76" w:rsidRPr="005D7987" w:rsidRDefault="00BD0B76"/>
    <w:p w14:paraId="635C18C2" w14:textId="77777777" w:rsidR="00BD0B76" w:rsidRPr="005D7987" w:rsidRDefault="00BD0B76">
      <w:pPr>
        <w:jc w:val="both"/>
      </w:pPr>
      <w:r w:rsidRPr="005D7987">
        <w:t xml:space="preserve">The document supplied must prove the </w:t>
      </w:r>
      <w:r w:rsidR="00941CE4" w:rsidRPr="005D7987">
        <w:t>group</w:t>
      </w:r>
      <w:r w:rsidRPr="005D7987">
        <w:t xml:space="preserve">'s actual status. In that document or in an annex thereto, the economic operators making up the </w:t>
      </w:r>
      <w:r w:rsidR="00941CE4" w:rsidRPr="005D7987">
        <w:t>group</w:t>
      </w:r>
      <w:r w:rsidRPr="005D7987">
        <w:t xml:space="preserve"> shall undertake, as tenderers, to bear joint and several liability during performance of the contract, should it be awarded to them.</w:t>
      </w:r>
    </w:p>
    <w:p w14:paraId="5F2EB28D" w14:textId="77777777" w:rsidR="00BD0B76" w:rsidRPr="005D7987" w:rsidRDefault="00BD0B76"/>
    <w:p w14:paraId="1D84B087" w14:textId="77777777" w:rsidR="00BD0B76" w:rsidRPr="005D7987" w:rsidRDefault="00BD0B76">
      <w:pPr>
        <w:jc w:val="both"/>
      </w:pPr>
      <w:r w:rsidRPr="005D7987">
        <w:t>The European Parliament may accept other legal forms not referred to above, provided that they ensure the parties’ joint and several liability and are compatible with performance of the contract. However, in the contract to be signed with the consortium the European Parliament will refer expressly to the existence of such joint and several liability. In addition, it reserves the right to require, contractually, the appointment of an authorised representative who may represent the members and who is empowered, inter alia, to issue invoices on behalf of the other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2340"/>
      </w:tblGrid>
      <w:tr w:rsidR="00BD0B76" w:rsidRPr="0016702E" w14:paraId="4BD16A8E" w14:textId="77777777">
        <w:tc>
          <w:tcPr>
            <w:tcW w:w="8928" w:type="dxa"/>
            <w:gridSpan w:val="4"/>
          </w:tcPr>
          <w:p w14:paraId="205E8181" w14:textId="77777777" w:rsidR="00BD0B76" w:rsidRPr="005D7987" w:rsidRDefault="00BD0B76"/>
          <w:p w14:paraId="649AFE70" w14:textId="77777777" w:rsidR="00BD0B76" w:rsidRPr="005D7987" w:rsidRDefault="00BD0B76">
            <w:pPr>
              <w:jc w:val="center"/>
            </w:pPr>
            <w:r w:rsidRPr="005D7987">
              <w:t xml:space="preserve">Information on members of </w:t>
            </w:r>
            <w:r w:rsidR="00215E63" w:rsidRPr="005D7987">
              <w:t>group</w:t>
            </w:r>
          </w:p>
          <w:p w14:paraId="292000F4" w14:textId="77777777" w:rsidR="00BD0B76" w:rsidRPr="005D7987" w:rsidRDefault="00BD0B76"/>
        </w:tc>
      </w:tr>
      <w:tr w:rsidR="00BD0B76" w:rsidRPr="0016702E" w14:paraId="4042AF88" w14:textId="77777777">
        <w:tc>
          <w:tcPr>
            <w:tcW w:w="2268" w:type="dxa"/>
          </w:tcPr>
          <w:p w14:paraId="3BF1A23A" w14:textId="77777777" w:rsidR="00BD0B76" w:rsidRPr="005D7987" w:rsidRDefault="00BD0B76">
            <w:pPr>
              <w:jc w:val="center"/>
            </w:pPr>
          </w:p>
          <w:p w14:paraId="3FE96057" w14:textId="77777777" w:rsidR="00BD0B76" w:rsidRPr="005D7987" w:rsidRDefault="00BD0B76" w:rsidP="00941CE4">
            <w:pPr>
              <w:jc w:val="center"/>
            </w:pPr>
            <w:r w:rsidRPr="005D7987">
              <w:t xml:space="preserve">Name of member of </w:t>
            </w:r>
            <w:r w:rsidR="00941CE4" w:rsidRPr="005D7987">
              <w:t>group</w:t>
            </w:r>
          </w:p>
        </w:tc>
        <w:tc>
          <w:tcPr>
            <w:tcW w:w="2340" w:type="dxa"/>
          </w:tcPr>
          <w:p w14:paraId="7721B834" w14:textId="77777777" w:rsidR="00BD0B76" w:rsidRPr="005D7987" w:rsidRDefault="00BD0B76">
            <w:pPr>
              <w:jc w:val="center"/>
            </w:pPr>
          </w:p>
          <w:p w14:paraId="63A4917C" w14:textId="77777777" w:rsidR="00BD0B76" w:rsidRPr="005D7987" w:rsidRDefault="00BD0B76">
            <w:pPr>
              <w:jc w:val="center"/>
            </w:pPr>
            <w:r w:rsidRPr="005D7987">
              <w:t xml:space="preserve">Address of member of </w:t>
            </w:r>
            <w:r w:rsidR="00941CE4" w:rsidRPr="005D7987">
              <w:t>group</w:t>
            </w:r>
          </w:p>
          <w:p w14:paraId="3B6E1FC8" w14:textId="77777777" w:rsidR="00BD0B76" w:rsidRPr="005D7987" w:rsidRDefault="00BD0B76">
            <w:pPr>
              <w:jc w:val="center"/>
            </w:pPr>
          </w:p>
          <w:p w14:paraId="0AC61E6A" w14:textId="77777777" w:rsidR="00BD0B76" w:rsidRPr="005D7987" w:rsidRDefault="00BD0B76">
            <w:pPr>
              <w:jc w:val="center"/>
            </w:pPr>
          </w:p>
        </w:tc>
        <w:tc>
          <w:tcPr>
            <w:tcW w:w="1980" w:type="dxa"/>
          </w:tcPr>
          <w:p w14:paraId="6D898B6B" w14:textId="77777777" w:rsidR="00BD0B76" w:rsidRPr="005D7987" w:rsidRDefault="00BD0B76">
            <w:pPr>
              <w:jc w:val="center"/>
            </w:pPr>
          </w:p>
          <w:p w14:paraId="50B66994" w14:textId="77777777" w:rsidR="00BD0B76" w:rsidRPr="005D7987" w:rsidRDefault="00BD0B76">
            <w:pPr>
              <w:jc w:val="center"/>
            </w:pPr>
            <w:r w:rsidRPr="005D7987">
              <w:t>Name of member’s representative</w:t>
            </w:r>
          </w:p>
        </w:tc>
        <w:tc>
          <w:tcPr>
            <w:tcW w:w="2340" w:type="dxa"/>
          </w:tcPr>
          <w:p w14:paraId="00FD2737" w14:textId="77777777" w:rsidR="00F14EB6" w:rsidRPr="005D7987" w:rsidRDefault="00F14EB6">
            <w:pPr>
              <w:jc w:val="center"/>
            </w:pPr>
          </w:p>
          <w:p w14:paraId="0AD6114C" w14:textId="77777777" w:rsidR="00BD0B76" w:rsidRPr="005D7987" w:rsidRDefault="00BD0B76">
            <w:pPr>
              <w:jc w:val="center"/>
            </w:pPr>
            <w:r w:rsidRPr="005D7987">
              <w:t>Description of technical, professional and economic capacities</w:t>
            </w:r>
            <w:r w:rsidRPr="005D7987">
              <w:rPr>
                <w:rStyle w:val="FootnoteReference"/>
              </w:rPr>
              <w:footnoteReference w:id="7"/>
            </w:r>
          </w:p>
          <w:p w14:paraId="51623972" w14:textId="77777777" w:rsidR="00BD0B76" w:rsidRPr="005D7987" w:rsidRDefault="00BD0B76">
            <w:pPr>
              <w:jc w:val="center"/>
            </w:pPr>
          </w:p>
        </w:tc>
      </w:tr>
      <w:tr w:rsidR="00BD0B76" w:rsidRPr="0016702E" w14:paraId="7DA9AAE9" w14:textId="77777777">
        <w:trPr>
          <w:trHeight w:val="479"/>
        </w:trPr>
        <w:tc>
          <w:tcPr>
            <w:tcW w:w="2268" w:type="dxa"/>
          </w:tcPr>
          <w:p w14:paraId="5954BFC8" w14:textId="77777777" w:rsidR="00BD0B76" w:rsidRPr="005D7987" w:rsidRDefault="00BD0B76"/>
        </w:tc>
        <w:tc>
          <w:tcPr>
            <w:tcW w:w="2340" w:type="dxa"/>
          </w:tcPr>
          <w:p w14:paraId="234E5185" w14:textId="77777777" w:rsidR="00BD0B76" w:rsidRPr="005D7987" w:rsidRDefault="00BD0B76"/>
        </w:tc>
        <w:tc>
          <w:tcPr>
            <w:tcW w:w="1980" w:type="dxa"/>
          </w:tcPr>
          <w:p w14:paraId="0E9A2A72" w14:textId="77777777" w:rsidR="00BD0B76" w:rsidRPr="005D7987" w:rsidRDefault="00BD0B76"/>
        </w:tc>
        <w:tc>
          <w:tcPr>
            <w:tcW w:w="2340" w:type="dxa"/>
          </w:tcPr>
          <w:p w14:paraId="4B5B03B2" w14:textId="77777777" w:rsidR="00BD0B76" w:rsidRPr="005D7987" w:rsidRDefault="00BD0B76"/>
        </w:tc>
      </w:tr>
      <w:tr w:rsidR="00BD0B76" w:rsidRPr="0016702E" w14:paraId="5DE89075" w14:textId="77777777">
        <w:trPr>
          <w:trHeight w:val="523"/>
        </w:trPr>
        <w:tc>
          <w:tcPr>
            <w:tcW w:w="2268" w:type="dxa"/>
          </w:tcPr>
          <w:p w14:paraId="7AD0BD0F" w14:textId="77777777" w:rsidR="00BD0B76" w:rsidRPr="005D7987" w:rsidRDefault="00BD0B76"/>
        </w:tc>
        <w:tc>
          <w:tcPr>
            <w:tcW w:w="2340" w:type="dxa"/>
          </w:tcPr>
          <w:p w14:paraId="34F1EB80" w14:textId="77777777" w:rsidR="00BD0B76" w:rsidRPr="005D7987" w:rsidRDefault="00BD0B76"/>
        </w:tc>
        <w:tc>
          <w:tcPr>
            <w:tcW w:w="1980" w:type="dxa"/>
          </w:tcPr>
          <w:p w14:paraId="3FE45B80" w14:textId="77777777" w:rsidR="00BD0B76" w:rsidRPr="005D7987" w:rsidRDefault="00BD0B76"/>
        </w:tc>
        <w:tc>
          <w:tcPr>
            <w:tcW w:w="2340" w:type="dxa"/>
          </w:tcPr>
          <w:p w14:paraId="36971AB6" w14:textId="77777777" w:rsidR="00BD0B76" w:rsidRPr="005D7987" w:rsidRDefault="00BD0B76"/>
        </w:tc>
      </w:tr>
    </w:tbl>
    <w:p w14:paraId="03C19589" w14:textId="77777777" w:rsidR="00FB008B" w:rsidRPr="005D7987" w:rsidRDefault="00FB008B">
      <w:pPr>
        <w:spacing w:line="238" w:lineRule="auto"/>
        <w:rPr>
          <w:b/>
        </w:rPr>
      </w:pPr>
    </w:p>
    <w:p w14:paraId="64B83954" w14:textId="55038992" w:rsidR="00BD0B76" w:rsidRPr="005D7987" w:rsidRDefault="00BD0B76">
      <w:pPr>
        <w:spacing w:line="238" w:lineRule="auto"/>
        <w:rPr>
          <w:rStyle w:val="Logo"/>
        </w:rPr>
      </w:pPr>
      <w:r w:rsidRPr="005D7987">
        <w:rPr>
          <w:b/>
        </w:rPr>
        <w:t>Date:</w:t>
      </w:r>
      <w:r w:rsidRPr="005D7987">
        <w:t xml:space="preserve"> ............................                                  </w:t>
      </w:r>
      <w:r w:rsidRPr="005D7987">
        <w:rPr>
          <w:b/>
        </w:rPr>
        <w:t>Signature:</w:t>
      </w:r>
      <w:r w:rsidRPr="005D7987">
        <w:t xml:space="preserve"> ...............................................</w:t>
      </w:r>
    </w:p>
    <w:p w14:paraId="0A7C3757" w14:textId="77777777" w:rsidR="00BD0B76" w:rsidRPr="005D7987" w:rsidRDefault="00BD0B76">
      <w:pPr>
        <w:jc w:val="both"/>
        <w:rPr>
          <w:b/>
        </w:rPr>
      </w:pPr>
    </w:p>
    <w:p w14:paraId="5A63C6B1" w14:textId="77777777" w:rsidR="00BD0B76" w:rsidRPr="005D7987" w:rsidRDefault="00BD0B76">
      <w:pPr>
        <w:jc w:val="both"/>
        <w:rPr>
          <w:b/>
        </w:rPr>
      </w:pPr>
    </w:p>
    <w:p w14:paraId="40CA5615" w14:textId="16F48D83" w:rsidR="00BD0B76" w:rsidRPr="005D7987" w:rsidRDefault="00BD0B76">
      <w:pPr>
        <w:jc w:val="center"/>
        <w:rPr>
          <w:b/>
        </w:rPr>
      </w:pPr>
      <w:r w:rsidRPr="005D7987">
        <w:rPr>
          <w:b/>
        </w:rPr>
        <w:t>Annex [VI]:</w:t>
      </w:r>
      <w:r w:rsidRPr="005D7987">
        <w:t xml:space="preserve"> </w:t>
      </w:r>
      <w:r w:rsidRPr="005D7987">
        <w:rPr>
          <w:b/>
        </w:rPr>
        <w:t>Declaration concerning subcontractors</w:t>
      </w:r>
    </w:p>
    <w:p w14:paraId="2D553F0B" w14:textId="77777777" w:rsidR="00BD0B76" w:rsidRPr="005D7987" w:rsidRDefault="00BD0B76">
      <w:pPr>
        <w:jc w:val="center"/>
        <w:rPr>
          <w:b/>
        </w:rPr>
      </w:pPr>
    </w:p>
    <w:p w14:paraId="3A60538D" w14:textId="77777777" w:rsidR="00BD0B76" w:rsidRPr="005D7987" w:rsidRDefault="00BD0B76"/>
    <w:p w14:paraId="1C7217CD" w14:textId="77777777" w:rsidR="00BD0B76" w:rsidRPr="005D7987" w:rsidRDefault="00BD0B76">
      <w:pPr>
        <w:rPr>
          <w:b/>
        </w:rPr>
      </w:pPr>
      <w:r w:rsidRPr="005D7987">
        <w:rPr>
          <w:b/>
        </w:rPr>
        <w:t>Name of the tenderer:</w:t>
      </w:r>
    </w:p>
    <w:p w14:paraId="6007C333" w14:textId="77777777" w:rsidR="00BD0B76" w:rsidRPr="005D7987" w:rsidRDefault="00BD0B76"/>
    <w:p w14:paraId="24D8706B" w14:textId="77777777" w:rsidR="00BD0B76" w:rsidRPr="005D7987" w:rsidRDefault="00BD0B76"/>
    <w:p w14:paraId="1E5D7A23" w14:textId="77777777" w:rsidR="00BD0B76" w:rsidRPr="005D7987" w:rsidRDefault="00BD0B76">
      <w:pPr>
        <w:jc w:val="both"/>
      </w:pPr>
      <w:r w:rsidRPr="005D7987">
        <w:t xml:space="preserve">I, the undersigned, Mr/Ms .............................................., in my capacity as representative of the above-mentioned tenderer, hereby </w:t>
      </w:r>
      <w:r w:rsidRPr="005D7987">
        <w:rPr>
          <w:b/>
        </w:rPr>
        <w:t>declare</w:t>
      </w:r>
      <w:r w:rsidRPr="005D7987">
        <w:t xml:space="preserve"> that, in the event that the contract, or one or more lots thereof, is awarded to the tenderer, the following economic operators will act as subcontractors:</w:t>
      </w:r>
    </w:p>
    <w:p w14:paraId="03234C36" w14:textId="77777777" w:rsidR="00BD0B76" w:rsidRPr="005D7987" w:rsidRDefault="00BD0B76"/>
    <w:tbl>
      <w:tblPr>
        <w:tblW w:w="82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3753"/>
        <w:gridCol w:w="2842"/>
      </w:tblGrid>
      <w:tr w:rsidR="00BD0B76" w:rsidRPr="0016702E" w14:paraId="5FDE0E5A" w14:textId="77777777">
        <w:trPr>
          <w:jc w:val="right"/>
        </w:trPr>
        <w:tc>
          <w:tcPr>
            <w:tcW w:w="8388" w:type="dxa"/>
            <w:gridSpan w:val="3"/>
          </w:tcPr>
          <w:p w14:paraId="7C2F6FA2" w14:textId="77777777" w:rsidR="00BD0B76" w:rsidRPr="005D7987" w:rsidRDefault="00BD0B76">
            <w:pPr>
              <w:jc w:val="center"/>
            </w:pPr>
          </w:p>
          <w:p w14:paraId="42DA86A6" w14:textId="77777777" w:rsidR="00BD0B76" w:rsidRPr="005D7987" w:rsidRDefault="00BD0B76">
            <w:pPr>
              <w:jc w:val="center"/>
            </w:pPr>
            <w:r w:rsidRPr="005D7987">
              <w:t>Details of subcontracting</w:t>
            </w:r>
          </w:p>
          <w:p w14:paraId="546C7555" w14:textId="77777777" w:rsidR="00BD0B76" w:rsidRPr="005D7987" w:rsidRDefault="00BD0B76">
            <w:pPr>
              <w:jc w:val="center"/>
            </w:pPr>
          </w:p>
        </w:tc>
      </w:tr>
      <w:tr w:rsidR="00BD0B76" w:rsidRPr="0016702E" w14:paraId="16A78ACC" w14:textId="77777777">
        <w:trPr>
          <w:jc w:val="right"/>
        </w:trPr>
        <w:tc>
          <w:tcPr>
            <w:tcW w:w="1704" w:type="dxa"/>
          </w:tcPr>
          <w:p w14:paraId="64D96FAE" w14:textId="77777777" w:rsidR="00BD0B76" w:rsidRPr="005D7987" w:rsidRDefault="00BD0B76">
            <w:pPr>
              <w:jc w:val="center"/>
            </w:pPr>
            <w:r w:rsidRPr="005D7987">
              <w:t>Name &amp; address of subcontractor</w:t>
            </w:r>
          </w:p>
        </w:tc>
        <w:tc>
          <w:tcPr>
            <w:tcW w:w="3804" w:type="dxa"/>
          </w:tcPr>
          <w:p w14:paraId="049E5003" w14:textId="77777777" w:rsidR="00BD0B76" w:rsidRPr="005D7987" w:rsidRDefault="00BD0B76">
            <w:pPr>
              <w:jc w:val="center"/>
            </w:pPr>
            <w:r w:rsidRPr="005D7987">
              <w:t xml:space="preserve">Description of the subcontracted part of the contract </w:t>
            </w:r>
          </w:p>
        </w:tc>
        <w:tc>
          <w:tcPr>
            <w:tcW w:w="2880" w:type="dxa"/>
          </w:tcPr>
          <w:p w14:paraId="487048D9" w14:textId="77777777" w:rsidR="00BD0B76" w:rsidRPr="005D7987" w:rsidRDefault="00BD0B76">
            <w:pPr>
              <w:jc w:val="center"/>
            </w:pPr>
            <w:r w:rsidRPr="005D7987">
              <w:t>Value of subcontracted part of contract (in EUR and as a percentage of estimated total amount of contract)</w:t>
            </w:r>
          </w:p>
        </w:tc>
      </w:tr>
      <w:tr w:rsidR="00BD0B76" w:rsidRPr="0016702E" w14:paraId="3E56BA6A" w14:textId="77777777">
        <w:trPr>
          <w:trHeight w:val="479"/>
          <w:jc w:val="right"/>
        </w:trPr>
        <w:tc>
          <w:tcPr>
            <w:tcW w:w="1704" w:type="dxa"/>
          </w:tcPr>
          <w:p w14:paraId="34845F0B" w14:textId="77777777" w:rsidR="00BD0B76" w:rsidRPr="005D7987" w:rsidRDefault="00BD0B76"/>
        </w:tc>
        <w:tc>
          <w:tcPr>
            <w:tcW w:w="3804" w:type="dxa"/>
          </w:tcPr>
          <w:p w14:paraId="553F05E8" w14:textId="77777777" w:rsidR="00BD0B76" w:rsidRPr="005D7987" w:rsidRDefault="00BD0B76"/>
        </w:tc>
        <w:tc>
          <w:tcPr>
            <w:tcW w:w="2880" w:type="dxa"/>
          </w:tcPr>
          <w:p w14:paraId="6DD2781C" w14:textId="77777777" w:rsidR="00BD0B76" w:rsidRPr="005D7987" w:rsidRDefault="00BD0B76"/>
        </w:tc>
      </w:tr>
      <w:tr w:rsidR="00BD0B76" w:rsidRPr="0016702E" w14:paraId="6F6195F4" w14:textId="77777777">
        <w:trPr>
          <w:trHeight w:val="543"/>
          <w:jc w:val="right"/>
        </w:trPr>
        <w:tc>
          <w:tcPr>
            <w:tcW w:w="1704" w:type="dxa"/>
          </w:tcPr>
          <w:p w14:paraId="203A523F" w14:textId="77777777" w:rsidR="00BD0B76" w:rsidRPr="005D7987" w:rsidRDefault="00BD0B76"/>
        </w:tc>
        <w:tc>
          <w:tcPr>
            <w:tcW w:w="3804" w:type="dxa"/>
          </w:tcPr>
          <w:p w14:paraId="7871F747" w14:textId="77777777" w:rsidR="00BD0B76" w:rsidRPr="005D7987" w:rsidRDefault="00BD0B76"/>
        </w:tc>
        <w:tc>
          <w:tcPr>
            <w:tcW w:w="2880" w:type="dxa"/>
          </w:tcPr>
          <w:p w14:paraId="47284811" w14:textId="77777777" w:rsidR="00BD0B76" w:rsidRPr="005D7987" w:rsidRDefault="00BD0B76"/>
        </w:tc>
      </w:tr>
      <w:tr w:rsidR="00BD0B76" w:rsidRPr="0016702E" w14:paraId="30360914" w14:textId="77777777">
        <w:trPr>
          <w:trHeight w:val="523"/>
          <w:jc w:val="right"/>
        </w:trPr>
        <w:tc>
          <w:tcPr>
            <w:tcW w:w="1704" w:type="dxa"/>
          </w:tcPr>
          <w:p w14:paraId="0DC2B36B" w14:textId="77777777" w:rsidR="00BD0B76" w:rsidRPr="005D7987" w:rsidRDefault="00BD0B76"/>
        </w:tc>
        <w:tc>
          <w:tcPr>
            <w:tcW w:w="3804" w:type="dxa"/>
          </w:tcPr>
          <w:p w14:paraId="0169DA6E" w14:textId="77777777" w:rsidR="00BD0B76" w:rsidRPr="005D7987" w:rsidRDefault="00BD0B76"/>
        </w:tc>
        <w:tc>
          <w:tcPr>
            <w:tcW w:w="2880" w:type="dxa"/>
          </w:tcPr>
          <w:p w14:paraId="54ED572C" w14:textId="77777777" w:rsidR="00BD0B76" w:rsidRPr="005D7987" w:rsidRDefault="00BD0B76"/>
        </w:tc>
      </w:tr>
      <w:tr w:rsidR="00BD0B76" w:rsidRPr="0016702E" w14:paraId="34AF8A89" w14:textId="77777777">
        <w:trPr>
          <w:trHeight w:val="517"/>
          <w:jc w:val="right"/>
        </w:trPr>
        <w:tc>
          <w:tcPr>
            <w:tcW w:w="1704" w:type="dxa"/>
          </w:tcPr>
          <w:p w14:paraId="24071E42" w14:textId="77777777" w:rsidR="00BD0B76" w:rsidRPr="005D7987" w:rsidRDefault="00BD0B76"/>
        </w:tc>
        <w:tc>
          <w:tcPr>
            <w:tcW w:w="3804" w:type="dxa"/>
          </w:tcPr>
          <w:p w14:paraId="40208339" w14:textId="77777777" w:rsidR="00BD0B76" w:rsidRPr="005D7987" w:rsidRDefault="00BD0B76"/>
        </w:tc>
        <w:tc>
          <w:tcPr>
            <w:tcW w:w="2880" w:type="dxa"/>
          </w:tcPr>
          <w:p w14:paraId="3A56F2DB" w14:textId="77777777" w:rsidR="00BD0B76" w:rsidRPr="005D7987" w:rsidRDefault="00BD0B76"/>
        </w:tc>
      </w:tr>
    </w:tbl>
    <w:p w14:paraId="4D626E7A" w14:textId="77777777" w:rsidR="00BD0B76" w:rsidRPr="005D7987" w:rsidRDefault="00BD0B76"/>
    <w:p w14:paraId="54352DD0" w14:textId="77777777" w:rsidR="00BD0B76" w:rsidRPr="005D7987" w:rsidRDefault="00BD0B76">
      <w:pPr>
        <w:jc w:val="both"/>
      </w:pPr>
      <w:r w:rsidRPr="005D7987">
        <w:t xml:space="preserve">I acknowledge that the European Parliament reserves the right to request information on the financial, economic, technical and professional resources of the proposed subcontractor(s) and that the European Parliament may demand the requisite proof to establish whether the subcontractors comply with the exclusion criteria applying to tenderers. </w:t>
      </w:r>
    </w:p>
    <w:p w14:paraId="172B6932" w14:textId="77777777" w:rsidR="00BD0B76" w:rsidRPr="005D7987" w:rsidRDefault="00BD0B76">
      <w:pPr>
        <w:jc w:val="both"/>
      </w:pPr>
    </w:p>
    <w:p w14:paraId="776F5477" w14:textId="77777777" w:rsidR="00BD0B76" w:rsidRPr="005D7987" w:rsidRDefault="00BD0B76">
      <w:pPr>
        <w:jc w:val="both"/>
      </w:pPr>
      <w:r w:rsidRPr="005D7987">
        <w:t>In this context, the European Parliament reserves the right to reject any proposed subcontractor not complying with the exclusion and/or selection criteria.</w:t>
      </w:r>
    </w:p>
    <w:p w14:paraId="05084701" w14:textId="77777777" w:rsidR="00BD0B76" w:rsidRPr="005D7987" w:rsidRDefault="00BD0B76">
      <w:pPr>
        <w:jc w:val="both"/>
      </w:pPr>
    </w:p>
    <w:p w14:paraId="2998A8E3" w14:textId="77777777" w:rsidR="00BD0B76" w:rsidRPr="005D7987" w:rsidRDefault="00BD0B76">
      <w:pPr>
        <w:spacing w:after="240"/>
        <w:jc w:val="both"/>
      </w:pPr>
      <w:r w:rsidRPr="005D7987">
        <w:t xml:space="preserve">Furthermore, the European Parliament must be informed by the Contractor of any subsequent use of subcontracting not provided for in the tender. The European Parliament therefore reserves the right to accept or reject any subcontractor proposed during the performance of the contract. Accordingly, it may demand the requisite proof to establish whether a subcontractor complies with the requisite criteria. The European Parliament’s authorisation will always be granted in writing. </w:t>
      </w:r>
    </w:p>
    <w:p w14:paraId="6093D6CB" w14:textId="77777777" w:rsidR="00BD0B76" w:rsidRPr="005D7987" w:rsidRDefault="00BD0B76">
      <w:pPr>
        <w:spacing w:after="240"/>
        <w:jc w:val="both"/>
      </w:pPr>
      <w:r w:rsidRPr="005D7987">
        <w:t>If the contract is awarded to a tenderer who proposes a subcontractor in his tender, this equates to giving consent for the subcontracting.</w:t>
      </w:r>
    </w:p>
    <w:p w14:paraId="22A40AC8" w14:textId="77777777" w:rsidR="00BD0B76" w:rsidRPr="005D7987" w:rsidRDefault="00BD0B76">
      <w:pPr>
        <w:spacing w:after="240"/>
        <w:jc w:val="both"/>
      </w:pPr>
    </w:p>
    <w:p w14:paraId="0A3E56C1" w14:textId="77777777" w:rsidR="00BD0B76" w:rsidRPr="005D7987" w:rsidRDefault="00BD0B76">
      <w:pPr>
        <w:spacing w:line="238" w:lineRule="auto"/>
        <w:rPr>
          <w:rStyle w:val="Logo"/>
        </w:rPr>
      </w:pPr>
      <w:r w:rsidRPr="005D7987">
        <w:rPr>
          <w:b/>
        </w:rPr>
        <w:t>Date:</w:t>
      </w:r>
      <w:r w:rsidRPr="005D7987">
        <w:t xml:space="preserve"> ............................                                  </w:t>
      </w:r>
      <w:r w:rsidRPr="005D7987">
        <w:rPr>
          <w:b/>
        </w:rPr>
        <w:t>Signature:</w:t>
      </w:r>
      <w:r w:rsidRPr="005D7987">
        <w:t xml:space="preserve"> ...............................................</w:t>
      </w:r>
    </w:p>
    <w:p w14:paraId="1492D127" w14:textId="77777777" w:rsidR="00BD0B76" w:rsidRPr="005D7987" w:rsidRDefault="00BD0B76">
      <w:pPr>
        <w:spacing w:after="240"/>
        <w:jc w:val="both"/>
      </w:pPr>
    </w:p>
    <w:p w14:paraId="5F6E90FE" w14:textId="77777777" w:rsidR="00BD0B76" w:rsidRPr="005D7987" w:rsidRDefault="00BD0B76">
      <w:pPr>
        <w:jc w:val="center"/>
        <w:rPr>
          <w:b/>
        </w:rPr>
      </w:pPr>
      <w:r w:rsidRPr="005D7987">
        <w:rPr>
          <w:b/>
        </w:rPr>
        <w:br w:type="page"/>
      </w:r>
      <w:r w:rsidRPr="005D7987">
        <w:rPr>
          <w:b/>
        </w:rPr>
        <w:lastRenderedPageBreak/>
        <w:t>Annex [VII]: Financial data sheet</w:t>
      </w:r>
    </w:p>
    <w:p w14:paraId="2FBD5995" w14:textId="77777777" w:rsidR="00BD0B76" w:rsidRPr="005D7987" w:rsidRDefault="00BD0B76">
      <w:pPr>
        <w:spacing w:after="240"/>
        <w:jc w:val="center"/>
      </w:pPr>
    </w:p>
    <w:p w14:paraId="0E2285E5" w14:textId="77777777" w:rsidR="00BD0B76" w:rsidRPr="005D7987" w:rsidRDefault="00BD0B76">
      <w:pPr>
        <w:spacing w:after="80"/>
        <w:ind w:right="-1"/>
        <w:jc w:val="center"/>
      </w:pPr>
      <w:r w:rsidRPr="005D7987">
        <w:t>To be completed by the tenderer or by each company in the case of a consortium with a joint representative, on the basis of the financial statements for the last three financial years, which must be attached.</w:t>
      </w:r>
    </w:p>
    <w:p w14:paraId="5D7750B8" w14:textId="77777777" w:rsidR="00BD0B76" w:rsidRPr="005D7987" w:rsidRDefault="00BD0B76">
      <w:pPr>
        <w:spacing w:after="80"/>
        <w:rPr>
          <w:color w:val="000000"/>
          <w:u w:val="single"/>
        </w:rPr>
      </w:pPr>
    </w:p>
    <w:p w14:paraId="45609B54" w14:textId="77777777" w:rsidR="00BD0B76" w:rsidRPr="005D7987" w:rsidRDefault="00BD0B76">
      <w:pPr>
        <w:spacing w:after="80"/>
        <w:rPr>
          <w:color w:val="000000"/>
          <w:u w:val="single"/>
        </w:rPr>
      </w:pPr>
      <w:r w:rsidRPr="005D7987">
        <w:rPr>
          <w:u w:val="single"/>
        </w:rPr>
        <w:t>Turnover</w:t>
      </w:r>
    </w:p>
    <w:p w14:paraId="2633C25B" w14:textId="16E07376" w:rsidR="00BD0B76" w:rsidRPr="005D7987" w:rsidRDefault="00BD0B76">
      <w:pPr>
        <w:spacing w:after="80"/>
        <w:rPr>
          <w:color w:val="000000"/>
        </w:rPr>
      </w:pPr>
      <w:r w:rsidRPr="005D7987">
        <w:t>Total turnover for the last three financial years</w:t>
      </w:r>
    </w:p>
    <w:p w14:paraId="2AB3D28F" w14:textId="77777777" w:rsidR="00BD0B76" w:rsidRPr="005D7987" w:rsidRDefault="00BD0B76">
      <w:pPr>
        <w:tabs>
          <w:tab w:val="left" w:pos="-1099"/>
          <w:tab w:val="left" w:pos="-720"/>
          <w:tab w:val="left" w:pos="2268"/>
          <w:tab w:val="left" w:pos="7938"/>
        </w:tabs>
        <w:spacing w:after="80"/>
        <w:rPr>
          <w:color w:val="000000"/>
        </w:rPr>
      </w:pPr>
      <w:r w:rsidRPr="005D7987">
        <w:t>Year n-1</w:t>
      </w:r>
      <w:r w:rsidRPr="005D7987">
        <w:rPr>
          <w:color w:val="000000"/>
        </w:rPr>
        <w:tab/>
        <w:t>.....................................................................................</w:t>
      </w:r>
      <w:r w:rsidRPr="005D7987">
        <w:rPr>
          <w:color w:val="000000"/>
        </w:rPr>
        <w:tab/>
      </w:r>
      <w:r w:rsidRPr="005D7987">
        <w:t>EUR</w:t>
      </w:r>
    </w:p>
    <w:p w14:paraId="4FA185F3" w14:textId="77777777" w:rsidR="00BD0B76" w:rsidRPr="005D7987" w:rsidRDefault="00BD0B76">
      <w:pPr>
        <w:tabs>
          <w:tab w:val="left" w:pos="-1099"/>
          <w:tab w:val="left" w:pos="-720"/>
          <w:tab w:val="left" w:pos="2268"/>
          <w:tab w:val="left" w:pos="7938"/>
        </w:tabs>
        <w:spacing w:after="80"/>
        <w:rPr>
          <w:color w:val="000000"/>
        </w:rPr>
      </w:pPr>
      <w:r w:rsidRPr="005D7987">
        <w:t>Year n-2</w:t>
      </w:r>
      <w:r w:rsidRPr="005D7987">
        <w:rPr>
          <w:color w:val="000000"/>
        </w:rPr>
        <w:tab/>
        <w:t>.....................................................................................</w:t>
      </w:r>
      <w:r w:rsidRPr="005D7987">
        <w:rPr>
          <w:color w:val="000000"/>
        </w:rPr>
        <w:tab/>
      </w:r>
      <w:r w:rsidRPr="005D7987">
        <w:t>EUR</w:t>
      </w:r>
    </w:p>
    <w:p w14:paraId="58006126" w14:textId="77777777" w:rsidR="00BD0B76" w:rsidRPr="005D7987" w:rsidRDefault="00BD0B76">
      <w:pPr>
        <w:spacing w:after="80"/>
        <w:ind w:left="540" w:hanging="540"/>
      </w:pPr>
    </w:p>
    <w:p w14:paraId="219BCE1E" w14:textId="77777777" w:rsidR="00BD0B76" w:rsidRPr="005D7987" w:rsidRDefault="00BD0B76">
      <w:pPr>
        <w:spacing w:after="80"/>
        <w:ind w:left="540" w:hanging="540"/>
      </w:pPr>
      <w:r w:rsidRPr="005D7987">
        <w:t>Certified true and accurate.</w:t>
      </w:r>
    </w:p>
    <w:p w14:paraId="713F0A2B" w14:textId="77777777" w:rsidR="00BD0B76" w:rsidRPr="005D7987" w:rsidRDefault="00BD0B76">
      <w:pPr>
        <w:spacing w:after="80"/>
        <w:ind w:hanging="318"/>
      </w:pPr>
    </w:p>
    <w:p w14:paraId="1A761972" w14:textId="77777777" w:rsidR="00BD0B76" w:rsidRPr="005D7987" w:rsidRDefault="00BD0B76">
      <w:pPr>
        <w:spacing w:after="80"/>
        <w:ind w:hanging="318"/>
      </w:pPr>
    </w:p>
    <w:p w14:paraId="3FBAEDC6" w14:textId="77777777" w:rsidR="00BD0B76" w:rsidRPr="005D7987" w:rsidRDefault="00BD0B76">
      <w:pPr>
        <w:spacing w:after="80"/>
        <w:ind w:left="540" w:hanging="540"/>
      </w:pPr>
      <w:r w:rsidRPr="005D7987">
        <w:t>Done at ......................... on .........................................</w:t>
      </w:r>
    </w:p>
    <w:p w14:paraId="0140AA16" w14:textId="77777777" w:rsidR="00BD0B76" w:rsidRPr="005D7987" w:rsidRDefault="00BD0B76">
      <w:pPr>
        <w:spacing w:after="80"/>
        <w:ind w:left="540" w:hanging="540"/>
      </w:pPr>
    </w:p>
    <w:p w14:paraId="3C12A246" w14:textId="4D359621" w:rsidR="00BD0B76" w:rsidRPr="005D7987" w:rsidRDefault="00BD0B76" w:rsidP="00FB008B">
      <w:pPr>
        <w:spacing w:after="80"/>
        <w:ind w:left="540" w:hanging="540"/>
      </w:pPr>
      <w:r w:rsidRPr="005D7987">
        <w:t>Signatures(s):</w:t>
      </w:r>
    </w:p>
    <w:sectPr w:rsidR="00BD0B76" w:rsidRPr="005D7987">
      <w:pgSz w:w="11907" w:h="16840" w:code="9"/>
      <w:pgMar w:top="851" w:right="1418" w:bottom="851" w:left="1418" w:header="709"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A26C" w14:textId="77777777" w:rsidR="00B943EF" w:rsidRPr="007B4268" w:rsidRDefault="00B943EF">
      <w:r w:rsidRPr="007B4268">
        <w:separator/>
      </w:r>
    </w:p>
  </w:endnote>
  <w:endnote w:type="continuationSeparator" w:id="0">
    <w:p w14:paraId="58F32C08" w14:textId="77777777" w:rsidR="00B943EF" w:rsidRPr="007B4268" w:rsidRDefault="00B943EF">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5923" w14:textId="54014731" w:rsidR="00B943EF" w:rsidRPr="00772303" w:rsidRDefault="00B943EF" w:rsidP="003A4407">
    <w:pPr>
      <w:pStyle w:val="Footer"/>
      <w:spacing w:before="0" w:after="0"/>
      <w:rPr>
        <w:rFonts w:ascii="Arial" w:hAnsi="Arial" w:cs="Arial"/>
        <w:sz w:val="18"/>
        <w:szCs w:val="18"/>
      </w:rPr>
    </w:pPr>
    <w:r w:rsidRPr="00772303">
      <w:rPr>
        <w:rFonts w:ascii="Arial" w:hAnsi="Arial" w:cs="Arial"/>
        <w:sz w:val="18"/>
        <w:szCs w:val="18"/>
      </w:rPr>
      <w:tab/>
    </w:r>
    <w:r w:rsidRPr="00772303">
      <w:rPr>
        <w:rFonts w:ascii="Arial" w:hAnsi="Arial" w:cs="Arial"/>
        <w:sz w:val="18"/>
        <w:szCs w:val="18"/>
      </w:rPr>
      <w:fldChar w:fldCharType="begin"/>
    </w:r>
    <w:r w:rsidRPr="00772303">
      <w:rPr>
        <w:rFonts w:ascii="Arial" w:hAnsi="Arial" w:cs="Arial"/>
        <w:sz w:val="18"/>
        <w:szCs w:val="18"/>
      </w:rPr>
      <w:instrText xml:space="preserve"> PAGE  \* MERGEFORMAT </w:instrText>
    </w:r>
    <w:r w:rsidRPr="00772303">
      <w:rPr>
        <w:rFonts w:ascii="Arial" w:hAnsi="Arial" w:cs="Arial"/>
        <w:sz w:val="18"/>
        <w:szCs w:val="18"/>
      </w:rPr>
      <w:fldChar w:fldCharType="separate"/>
    </w:r>
    <w:r>
      <w:rPr>
        <w:rFonts w:ascii="Arial" w:hAnsi="Arial" w:cs="Arial"/>
        <w:noProof/>
        <w:sz w:val="18"/>
        <w:szCs w:val="18"/>
      </w:rPr>
      <w:t>2</w:t>
    </w:r>
    <w:r w:rsidRPr="00772303">
      <w:rPr>
        <w:rFonts w:ascii="Arial" w:hAnsi="Arial" w:cs="Arial"/>
        <w:sz w:val="18"/>
        <w:szCs w:val="18"/>
      </w:rPr>
      <w:fldChar w:fldCharType="end"/>
    </w:r>
    <w:r w:rsidRPr="00772303">
      <w:rPr>
        <w:rFonts w:ascii="Arial" w:hAnsi="Arial" w:cs="Arial"/>
        <w:sz w:val="18"/>
        <w:szCs w:val="18"/>
      </w:rPr>
      <w:t>/</w:t>
    </w:r>
    <w:r w:rsidRPr="00772303">
      <w:rPr>
        <w:rFonts w:ascii="Arial" w:hAnsi="Arial" w:cs="Arial"/>
        <w:noProof/>
        <w:sz w:val="18"/>
        <w:szCs w:val="18"/>
      </w:rPr>
      <w:fldChar w:fldCharType="begin"/>
    </w:r>
    <w:r w:rsidRPr="00772303">
      <w:rPr>
        <w:rFonts w:ascii="Arial" w:hAnsi="Arial" w:cs="Arial"/>
        <w:noProof/>
        <w:sz w:val="18"/>
        <w:szCs w:val="18"/>
      </w:rPr>
      <w:instrText xml:space="preserve"> NUMPAGES  \* MERGEFORMAT </w:instrText>
    </w:r>
    <w:r w:rsidRPr="00772303">
      <w:rPr>
        <w:rFonts w:ascii="Arial" w:hAnsi="Arial" w:cs="Arial"/>
        <w:noProof/>
        <w:sz w:val="18"/>
        <w:szCs w:val="18"/>
      </w:rPr>
      <w:fldChar w:fldCharType="separate"/>
    </w:r>
    <w:r>
      <w:rPr>
        <w:rFonts w:ascii="Arial" w:hAnsi="Arial" w:cs="Arial"/>
        <w:noProof/>
        <w:sz w:val="18"/>
        <w:szCs w:val="18"/>
      </w:rPr>
      <w:t>25</w:t>
    </w:r>
    <w:r w:rsidRPr="00772303">
      <w:rPr>
        <w:rFonts w:ascii="Arial" w:hAnsi="Arial" w:cs="Arial"/>
        <w:noProof/>
        <w:sz w:val="18"/>
        <w:szCs w:val="18"/>
      </w:rPr>
      <w:fldChar w:fldCharType="end"/>
    </w:r>
    <w:r w:rsidRPr="00772303">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7A98" w14:textId="6237AE19" w:rsidR="00B943EF" w:rsidRPr="000D6821" w:rsidRDefault="00B943EF" w:rsidP="003A4407">
    <w:pPr>
      <w:pStyle w:val="Footer"/>
      <w:spacing w:before="0" w:after="0"/>
      <w:rPr>
        <w:rFonts w:ascii="Arial" w:hAnsi="Arial" w:cs="Arial"/>
        <w:sz w:val="18"/>
        <w:szCs w:val="18"/>
      </w:rPr>
    </w:pPr>
    <w:r w:rsidRPr="007B4268">
      <w:tab/>
    </w:r>
    <w:r w:rsidRPr="000D6821">
      <w:rPr>
        <w:rFonts w:ascii="Arial" w:hAnsi="Arial" w:cs="Arial"/>
        <w:sz w:val="18"/>
        <w:szCs w:val="18"/>
      </w:rPr>
      <w:fldChar w:fldCharType="begin"/>
    </w:r>
    <w:r w:rsidRPr="000D6821">
      <w:rPr>
        <w:rFonts w:ascii="Arial" w:hAnsi="Arial" w:cs="Arial"/>
        <w:sz w:val="18"/>
        <w:szCs w:val="18"/>
      </w:rPr>
      <w:instrText xml:space="preserve"> PAGE  \* MERGEFORMAT </w:instrText>
    </w:r>
    <w:r w:rsidRPr="000D6821">
      <w:rPr>
        <w:rFonts w:ascii="Arial" w:hAnsi="Arial" w:cs="Arial"/>
        <w:sz w:val="18"/>
        <w:szCs w:val="18"/>
      </w:rPr>
      <w:fldChar w:fldCharType="separate"/>
    </w:r>
    <w:r w:rsidR="00BB5014">
      <w:rPr>
        <w:rFonts w:ascii="Arial" w:hAnsi="Arial" w:cs="Arial"/>
        <w:noProof/>
        <w:sz w:val="18"/>
        <w:szCs w:val="18"/>
      </w:rPr>
      <w:t>23</w:t>
    </w:r>
    <w:r w:rsidRPr="000D6821">
      <w:rPr>
        <w:rFonts w:ascii="Arial" w:hAnsi="Arial" w:cs="Arial"/>
        <w:sz w:val="18"/>
        <w:szCs w:val="18"/>
      </w:rPr>
      <w:fldChar w:fldCharType="end"/>
    </w:r>
    <w:r w:rsidRPr="000D6821">
      <w:rPr>
        <w:rFonts w:ascii="Arial" w:hAnsi="Arial" w:cs="Arial"/>
        <w:sz w:val="18"/>
        <w:szCs w:val="18"/>
      </w:rPr>
      <w:t>/</w:t>
    </w:r>
    <w:r w:rsidRPr="000D6821">
      <w:rPr>
        <w:rFonts w:ascii="Arial" w:hAnsi="Arial" w:cs="Arial"/>
        <w:noProof/>
        <w:sz w:val="18"/>
        <w:szCs w:val="18"/>
      </w:rPr>
      <w:fldChar w:fldCharType="begin"/>
    </w:r>
    <w:r w:rsidRPr="000D6821">
      <w:rPr>
        <w:rFonts w:ascii="Arial" w:hAnsi="Arial" w:cs="Arial"/>
        <w:noProof/>
        <w:sz w:val="18"/>
        <w:szCs w:val="18"/>
      </w:rPr>
      <w:instrText xml:space="preserve"> NUMPAGES  \* MERGEFORMAT </w:instrText>
    </w:r>
    <w:r w:rsidRPr="000D6821">
      <w:rPr>
        <w:rFonts w:ascii="Arial" w:hAnsi="Arial" w:cs="Arial"/>
        <w:noProof/>
        <w:sz w:val="18"/>
        <w:szCs w:val="18"/>
      </w:rPr>
      <w:fldChar w:fldCharType="separate"/>
    </w:r>
    <w:r w:rsidR="00BB5014">
      <w:rPr>
        <w:rFonts w:ascii="Arial" w:hAnsi="Arial" w:cs="Arial"/>
        <w:noProof/>
        <w:sz w:val="18"/>
        <w:szCs w:val="18"/>
      </w:rPr>
      <w:t>26</w:t>
    </w:r>
    <w:r w:rsidRPr="000D6821">
      <w:rPr>
        <w:rFonts w:ascii="Arial" w:hAnsi="Arial" w:cs="Arial"/>
        <w:noProof/>
        <w:sz w:val="18"/>
        <w:szCs w:val="18"/>
      </w:rPr>
      <w:fldChar w:fldCharType="end"/>
    </w:r>
    <w:r w:rsidRPr="000D6821">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8154" w14:textId="5FF92B4F" w:rsidR="00B943EF" w:rsidRPr="00772303" w:rsidRDefault="00B943EF" w:rsidP="00A513C0">
    <w:pPr>
      <w:pStyle w:val="Style1"/>
      <w:rPr>
        <w:rFonts w:ascii="Arial" w:hAnsi="Arial" w:cs="Arial"/>
        <w:sz w:val="18"/>
        <w:szCs w:val="18"/>
      </w:rPr>
    </w:pPr>
    <w:r w:rsidRPr="00772303">
      <w:rPr>
        <w:rFonts w:ascii="Arial" w:hAnsi="Arial" w:cs="Arial"/>
        <w:sz w:val="18"/>
        <w:szCs w:val="18"/>
      </w:rPr>
      <w:tab/>
    </w:r>
    <w:r w:rsidRPr="00772303">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71B7" w14:textId="309E7C5C" w:rsidR="00B943EF" w:rsidRDefault="00B943EF" w:rsidP="00031A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0BFA" w14:textId="77777777" w:rsidR="00B943EF" w:rsidRPr="007B4268" w:rsidRDefault="00B943EF">
      <w:r w:rsidRPr="007B4268">
        <w:separator/>
      </w:r>
    </w:p>
  </w:footnote>
  <w:footnote w:type="continuationSeparator" w:id="0">
    <w:p w14:paraId="57E5F0E5" w14:textId="77777777" w:rsidR="00B943EF" w:rsidRPr="007B4268" w:rsidRDefault="00B943EF">
      <w:r w:rsidRPr="007B4268">
        <w:continuationSeparator/>
      </w:r>
    </w:p>
  </w:footnote>
  <w:footnote w:type="continuationNotice" w:id="1">
    <w:p w14:paraId="54D2AAF8" w14:textId="77777777" w:rsidR="00B943EF" w:rsidRPr="007B4268" w:rsidRDefault="00B943EF"/>
  </w:footnote>
  <w:footnote w:id="2">
    <w:p w14:paraId="274DC0FB" w14:textId="77777777" w:rsidR="00B943EF" w:rsidRPr="00772303" w:rsidRDefault="00B943EF" w:rsidP="00A5586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EU institution, agency, body or office. </w:t>
      </w:r>
    </w:p>
  </w:footnote>
  <w:footnote w:id="3">
    <w:p w14:paraId="6CF119A6" w14:textId="77777777" w:rsidR="00B943EF" w:rsidRPr="00772303" w:rsidRDefault="00B943EF" w:rsidP="00A5586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 w:id="4">
    <w:p w14:paraId="7871E58B" w14:textId="77777777" w:rsidR="00B943EF" w:rsidRPr="00772303" w:rsidRDefault="00B943EF" w:rsidP="00A55867">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 w:id="5">
    <w:p w14:paraId="44800998" w14:textId="77777777" w:rsidR="00B943EF" w:rsidRPr="00772303" w:rsidRDefault="00B943EF">
      <w:pPr>
        <w:pStyle w:val="FootnoteText"/>
        <w:spacing w:after="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State the name and address of the member authorised by the other members of the group to represent it. If no authorisation has been given, all consortium members must sign this declaration.</w:t>
      </w:r>
    </w:p>
  </w:footnote>
  <w:footnote w:id="6">
    <w:p w14:paraId="7EFCEF0C" w14:textId="77777777" w:rsidR="00B943EF" w:rsidRPr="00772303" w:rsidRDefault="00B943EF">
      <w:pPr>
        <w:pStyle w:val="FootnoteText"/>
        <w:spacing w:after="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To be indicated if a precise form has been chosen by the group members. If that is not the case, leave blank.</w:t>
      </w:r>
    </w:p>
  </w:footnote>
  <w:footnote w:id="7">
    <w:p w14:paraId="486B8F9A" w14:textId="77777777" w:rsidR="00B943EF" w:rsidRPr="00772303" w:rsidRDefault="00B943EF">
      <w:pPr>
        <w:pStyle w:val="FootnoteText"/>
        <w:spacing w:after="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Should such a description already have been provided in the tender, reference may be made to precisely where that description appears.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DCFB" w14:textId="77777777" w:rsidR="00B943EF" w:rsidRPr="007B4268" w:rsidRDefault="00B943EF">
    <w:pPr>
      <w:pStyle w:val="Header"/>
    </w:pPr>
    <w:r>
      <w:rPr>
        <w:noProof/>
      </w:rPr>
      <w:drawing>
        <wp:anchor distT="0" distB="0" distL="114300" distR="114300" simplePos="0" relativeHeight="251657728" behindDoc="0" locked="0" layoutInCell="1" allowOverlap="1" wp14:anchorId="55A7D800" wp14:editId="23164900">
          <wp:simplePos x="0" y="0"/>
          <wp:positionH relativeFrom="column">
            <wp:posOffset>4909820</wp:posOffset>
          </wp:positionH>
          <wp:positionV relativeFrom="page">
            <wp:posOffset>323850</wp:posOffset>
          </wp:positionV>
          <wp:extent cx="1429385" cy="1134745"/>
          <wp:effectExtent l="0" t="0" r="0" b="0"/>
          <wp:wrapNone/>
          <wp:docPr id="6" name="Picture 6"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Colo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E1D5" w14:textId="1804920F" w:rsidR="00B943EF" w:rsidRPr="00670A9C" w:rsidRDefault="00FC04B8" w:rsidP="00031A78">
    <w:pPr>
      <w:pStyle w:val="Header"/>
      <w:jc w:val="right"/>
      <w:rPr>
        <w:sz w:val="20"/>
        <w:szCs w:val="20"/>
        <w:lang w:val="fr-BE"/>
      </w:rPr>
    </w:pPr>
    <w:r>
      <w:rPr>
        <w:rFonts w:ascii="Arial" w:hAnsi="Arial" w:cs="Arial"/>
        <w:sz w:val="20"/>
        <w:szCs w:val="20"/>
      </w:rPr>
      <w:t>COMM/AWD/2020/529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A907" w14:textId="77777777" w:rsidR="00B943EF" w:rsidRDefault="00B9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91E17"/>
    <w:multiLevelType w:val="hybridMultilevel"/>
    <w:tmpl w:val="1D5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0E157CC"/>
    <w:multiLevelType w:val="hybridMultilevel"/>
    <w:tmpl w:val="F90CF284"/>
    <w:lvl w:ilvl="0" w:tplc="DC7E917E">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743B4D"/>
    <w:multiLevelType w:val="hybridMultilevel"/>
    <w:tmpl w:val="683886B2"/>
    <w:lvl w:ilvl="0" w:tplc="16925EF6">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10" w15:restartNumberingAfterBreak="0">
    <w:nsid w:val="3B5269F9"/>
    <w:multiLevelType w:val="hybridMultilevel"/>
    <w:tmpl w:val="B68EF92C"/>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A648F9"/>
    <w:multiLevelType w:val="hybridMultilevel"/>
    <w:tmpl w:val="64E63E2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2EB3558"/>
    <w:multiLevelType w:val="hybridMultilevel"/>
    <w:tmpl w:val="947E3F70"/>
    <w:lvl w:ilvl="0" w:tplc="08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83424B"/>
    <w:multiLevelType w:val="hybridMultilevel"/>
    <w:tmpl w:val="6E1A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C2B12"/>
    <w:multiLevelType w:val="hybridMultilevel"/>
    <w:tmpl w:val="2524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9"/>
  </w:num>
  <w:num w:numId="2">
    <w:abstractNumId w:val="4"/>
  </w:num>
  <w:num w:numId="3">
    <w:abstractNumId w:val="11"/>
  </w:num>
  <w:num w:numId="4">
    <w:abstractNumId w:val="20"/>
  </w:num>
  <w:num w:numId="5">
    <w:abstractNumId w:val="0"/>
  </w:num>
  <w:num w:numId="6">
    <w:abstractNumId w:val="10"/>
  </w:num>
  <w:num w:numId="7">
    <w:abstractNumId w:val="15"/>
  </w:num>
  <w:num w:numId="8">
    <w:abstractNumId w:val="7"/>
  </w:num>
  <w:num w:numId="9">
    <w:abstractNumId w:val="2"/>
  </w:num>
  <w:num w:numId="10">
    <w:abstractNumId w:val="19"/>
  </w:num>
  <w:num w:numId="11">
    <w:abstractNumId w:val="17"/>
  </w:num>
  <w:num w:numId="12">
    <w:abstractNumId w:val="12"/>
  </w:num>
  <w:num w:numId="13">
    <w:abstractNumId w:val="5"/>
  </w:num>
  <w:num w:numId="14">
    <w:abstractNumId w:val="6"/>
  </w:num>
  <w:num w:numId="15">
    <w:abstractNumId w:val="13"/>
  </w:num>
  <w:num w:numId="16">
    <w:abstractNumId w:val="3"/>
  </w:num>
  <w:num w:numId="17">
    <w:abstractNumId w:val="18"/>
  </w:num>
  <w:num w:numId="18">
    <w:abstractNumId w:val="1"/>
  </w:num>
  <w:num w:numId="19">
    <w:abstractNumId w:val="14"/>
  </w:num>
  <w:num w:numId="20">
    <w:abstractNumId w:val="8"/>
  </w:num>
  <w:num w:numId="21">
    <w:abstractNumId w:val="2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4F49"/>
    <w:rsid w:val="00004F83"/>
    <w:rsid w:val="00007B6B"/>
    <w:rsid w:val="00013326"/>
    <w:rsid w:val="00014CAC"/>
    <w:rsid w:val="000175DD"/>
    <w:rsid w:val="00023041"/>
    <w:rsid w:val="0002344E"/>
    <w:rsid w:val="000260CE"/>
    <w:rsid w:val="00026F1A"/>
    <w:rsid w:val="00026F37"/>
    <w:rsid w:val="0002782F"/>
    <w:rsid w:val="00027F1C"/>
    <w:rsid w:val="0003064C"/>
    <w:rsid w:val="00031376"/>
    <w:rsid w:val="00031A78"/>
    <w:rsid w:val="000333EC"/>
    <w:rsid w:val="00040FBC"/>
    <w:rsid w:val="00043B7F"/>
    <w:rsid w:val="00044E02"/>
    <w:rsid w:val="00050C80"/>
    <w:rsid w:val="00051091"/>
    <w:rsid w:val="000516BA"/>
    <w:rsid w:val="00055B39"/>
    <w:rsid w:val="00056283"/>
    <w:rsid w:val="00056B07"/>
    <w:rsid w:val="00061991"/>
    <w:rsid w:val="0006319F"/>
    <w:rsid w:val="00065D05"/>
    <w:rsid w:val="00066818"/>
    <w:rsid w:val="0007439C"/>
    <w:rsid w:val="000760F5"/>
    <w:rsid w:val="00076CB6"/>
    <w:rsid w:val="00082064"/>
    <w:rsid w:val="00082634"/>
    <w:rsid w:val="00084B58"/>
    <w:rsid w:val="0008581D"/>
    <w:rsid w:val="0009032A"/>
    <w:rsid w:val="00092485"/>
    <w:rsid w:val="000A390C"/>
    <w:rsid w:val="000B0E68"/>
    <w:rsid w:val="000B5841"/>
    <w:rsid w:val="000B7152"/>
    <w:rsid w:val="000B7C53"/>
    <w:rsid w:val="000C63AB"/>
    <w:rsid w:val="000D1E41"/>
    <w:rsid w:val="000D2076"/>
    <w:rsid w:val="000D4B9B"/>
    <w:rsid w:val="000D61B7"/>
    <w:rsid w:val="000D66B9"/>
    <w:rsid w:val="000D6821"/>
    <w:rsid w:val="000D72ED"/>
    <w:rsid w:val="000E2498"/>
    <w:rsid w:val="000E451E"/>
    <w:rsid w:val="000E462E"/>
    <w:rsid w:val="000E6140"/>
    <w:rsid w:val="000E6179"/>
    <w:rsid w:val="000F0223"/>
    <w:rsid w:val="000F1219"/>
    <w:rsid w:val="000F67E7"/>
    <w:rsid w:val="000F7969"/>
    <w:rsid w:val="00100B48"/>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02E"/>
    <w:rsid w:val="00167343"/>
    <w:rsid w:val="00167F9A"/>
    <w:rsid w:val="00171C8A"/>
    <w:rsid w:val="0017289E"/>
    <w:rsid w:val="0017512A"/>
    <w:rsid w:val="00181465"/>
    <w:rsid w:val="00182A0C"/>
    <w:rsid w:val="00182C79"/>
    <w:rsid w:val="0018334A"/>
    <w:rsid w:val="00186119"/>
    <w:rsid w:val="001908ED"/>
    <w:rsid w:val="00190A8A"/>
    <w:rsid w:val="0019356C"/>
    <w:rsid w:val="001A172B"/>
    <w:rsid w:val="001A4D03"/>
    <w:rsid w:val="001A54D4"/>
    <w:rsid w:val="001B2581"/>
    <w:rsid w:val="001B40A6"/>
    <w:rsid w:val="001B4540"/>
    <w:rsid w:val="001B6860"/>
    <w:rsid w:val="001C091B"/>
    <w:rsid w:val="001C1197"/>
    <w:rsid w:val="001C242E"/>
    <w:rsid w:val="001C6F32"/>
    <w:rsid w:val="001D11A4"/>
    <w:rsid w:val="001D3126"/>
    <w:rsid w:val="001E6ABB"/>
    <w:rsid w:val="001E7509"/>
    <w:rsid w:val="001E7DAC"/>
    <w:rsid w:val="001F0189"/>
    <w:rsid w:val="001F29D3"/>
    <w:rsid w:val="001F509F"/>
    <w:rsid w:val="001F7072"/>
    <w:rsid w:val="002014F2"/>
    <w:rsid w:val="00202679"/>
    <w:rsid w:val="002031C3"/>
    <w:rsid w:val="00203A00"/>
    <w:rsid w:val="002043F0"/>
    <w:rsid w:val="002052E6"/>
    <w:rsid w:val="00207E18"/>
    <w:rsid w:val="00215E63"/>
    <w:rsid w:val="0021671F"/>
    <w:rsid w:val="00221FCA"/>
    <w:rsid w:val="0022275B"/>
    <w:rsid w:val="00222C5B"/>
    <w:rsid w:val="00223FE8"/>
    <w:rsid w:val="00224CDA"/>
    <w:rsid w:val="00225361"/>
    <w:rsid w:val="002256C0"/>
    <w:rsid w:val="00226348"/>
    <w:rsid w:val="00226415"/>
    <w:rsid w:val="0023199D"/>
    <w:rsid w:val="002350F3"/>
    <w:rsid w:val="00235AA4"/>
    <w:rsid w:val="00235AFC"/>
    <w:rsid w:val="0023776C"/>
    <w:rsid w:val="00240B5E"/>
    <w:rsid w:val="0024153E"/>
    <w:rsid w:val="0024205B"/>
    <w:rsid w:val="00242C02"/>
    <w:rsid w:val="00251399"/>
    <w:rsid w:val="00260922"/>
    <w:rsid w:val="00261593"/>
    <w:rsid w:val="00264E14"/>
    <w:rsid w:val="00265966"/>
    <w:rsid w:val="00265F8A"/>
    <w:rsid w:val="002669AD"/>
    <w:rsid w:val="0027440E"/>
    <w:rsid w:val="00274D8A"/>
    <w:rsid w:val="00283F19"/>
    <w:rsid w:val="00284B0D"/>
    <w:rsid w:val="00286AE8"/>
    <w:rsid w:val="00286E21"/>
    <w:rsid w:val="002928F6"/>
    <w:rsid w:val="00294E62"/>
    <w:rsid w:val="00296130"/>
    <w:rsid w:val="00296311"/>
    <w:rsid w:val="00296E53"/>
    <w:rsid w:val="002B127A"/>
    <w:rsid w:val="002C0A68"/>
    <w:rsid w:val="002C0F48"/>
    <w:rsid w:val="002C164D"/>
    <w:rsid w:val="002C1E2B"/>
    <w:rsid w:val="002C2F83"/>
    <w:rsid w:val="002C307D"/>
    <w:rsid w:val="002C5422"/>
    <w:rsid w:val="002D3FF0"/>
    <w:rsid w:val="002D4A42"/>
    <w:rsid w:val="002D6C74"/>
    <w:rsid w:val="002E0D7B"/>
    <w:rsid w:val="002E3A8C"/>
    <w:rsid w:val="002E5DCE"/>
    <w:rsid w:val="002E780C"/>
    <w:rsid w:val="002E7CBE"/>
    <w:rsid w:val="002F03E8"/>
    <w:rsid w:val="002F14D8"/>
    <w:rsid w:val="002F1C81"/>
    <w:rsid w:val="002F495A"/>
    <w:rsid w:val="002F688E"/>
    <w:rsid w:val="00301CBD"/>
    <w:rsid w:val="003031E5"/>
    <w:rsid w:val="00303720"/>
    <w:rsid w:val="00305ECF"/>
    <w:rsid w:val="00312157"/>
    <w:rsid w:val="00314447"/>
    <w:rsid w:val="00314E00"/>
    <w:rsid w:val="003154C0"/>
    <w:rsid w:val="00316183"/>
    <w:rsid w:val="003207A4"/>
    <w:rsid w:val="00321157"/>
    <w:rsid w:val="00323995"/>
    <w:rsid w:val="0032606A"/>
    <w:rsid w:val="003267B0"/>
    <w:rsid w:val="0032741E"/>
    <w:rsid w:val="003318F1"/>
    <w:rsid w:val="0033600A"/>
    <w:rsid w:val="00336E45"/>
    <w:rsid w:val="00340EE0"/>
    <w:rsid w:val="0034281F"/>
    <w:rsid w:val="0034360B"/>
    <w:rsid w:val="00344146"/>
    <w:rsid w:val="00347D14"/>
    <w:rsid w:val="00350C13"/>
    <w:rsid w:val="00355F41"/>
    <w:rsid w:val="0035628B"/>
    <w:rsid w:val="00356690"/>
    <w:rsid w:val="003601B4"/>
    <w:rsid w:val="003616E3"/>
    <w:rsid w:val="003627E0"/>
    <w:rsid w:val="00365413"/>
    <w:rsid w:val="00370F39"/>
    <w:rsid w:val="003710AF"/>
    <w:rsid w:val="003721E6"/>
    <w:rsid w:val="003724E9"/>
    <w:rsid w:val="00374503"/>
    <w:rsid w:val="00374CA2"/>
    <w:rsid w:val="00376CF5"/>
    <w:rsid w:val="00380C60"/>
    <w:rsid w:val="00381BD6"/>
    <w:rsid w:val="00382843"/>
    <w:rsid w:val="00382AEE"/>
    <w:rsid w:val="00387826"/>
    <w:rsid w:val="00390E0F"/>
    <w:rsid w:val="00390F27"/>
    <w:rsid w:val="0039305C"/>
    <w:rsid w:val="003A4407"/>
    <w:rsid w:val="003A6D16"/>
    <w:rsid w:val="003B0EAE"/>
    <w:rsid w:val="003B2359"/>
    <w:rsid w:val="003B425D"/>
    <w:rsid w:val="003B4E2C"/>
    <w:rsid w:val="003C113F"/>
    <w:rsid w:val="003C3D3C"/>
    <w:rsid w:val="003C6084"/>
    <w:rsid w:val="003C722B"/>
    <w:rsid w:val="003D45C7"/>
    <w:rsid w:val="003D6D8C"/>
    <w:rsid w:val="003E123E"/>
    <w:rsid w:val="003E323D"/>
    <w:rsid w:val="003E4BC9"/>
    <w:rsid w:val="003E5DF0"/>
    <w:rsid w:val="003E74B1"/>
    <w:rsid w:val="003E7C55"/>
    <w:rsid w:val="003F0D94"/>
    <w:rsid w:val="003F4BA4"/>
    <w:rsid w:val="003F7027"/>
    <w:rsid w:val="00403678"/>
    <w:rsid w:val="0040553C"/>
    <w:rsid w:val="00407A31"/>
    <w:rsid w:val="00407EF9"/>
    <w:rsid w:val="00410982"/>
    <w:rsid w:val="00413D69"/>
    <w:rsid w:val="004172D8"/>
    <w:rsid w:val="00417882"/>
    <w:rsid w:val="004200E7"/>
    <w:rsid w:val="00423F86"/>
    <w:rsid w:val="004306E5"/>
    <w:rsid w:val="00430773"/>
    <w:rsid w:val="004338B5"/>
    <w:rsid w:val="004362B0"/>
    <w:rsid w:val="00442059"/>
    <w:rsid w:val="00444455"/>
    <w:rsid w:val="00446FA4"/>
    <w:rsid w:val="004475DB"/>
    <w:rsid w:val="004479DE"/>
    <w:rsid w:val="00447A30"/>
    <w:rsid w:val="00452301"/>
    <w:rsid w:val="0045421C"/>
    <w:rsid w:val="00457608"/>
    <w:rsid w:val="004605CD"/>
    <w:rsid w:val="004620FE"/>
    <w:rsid w:val="004642EF"/>
    <w:rsid w:val="004675EF"/>
    <w:rsid w:val="00467717"/>
    <w:rsid w:val="00470ED5"/>
    <w:rsid w:val="00481423"/>
    <w:rsid w:val="00481C62"/>
    <w:rsid w:val="00481FAB"/>
    <w:rsid w:val="0048414B"/>
    <w:rsid w:val="004868D5"/>
    <w:rsid w:val="00491446"/>
    <w:rsid w:val="0049470B"/>
    <w:rsid w:val="0049537E"/>
    <w:rsid w:val="00495588"/>
    <w:rsid w:val="004A1A0A"/>
    <w:rsid w:val="004A4E10"/>
    <w:rsid w:val="004A4E4A"/>
    <w:rsid w:val="004A6E96"/>
    <w:rsid w:val="004C01BC"/>
    <w:rsid w:val="004C23DD"/>
    <w:rsid w:val="004C304D"/>
    <w:rsid w:val="004C5484"/>
    <w:rsid w:val="004D2CA8"/>
    <w:rsid w:val="004D3D0F"/>
    <w:rsid w:val="004E7089"/>
    <w:rsid w:val="004F0185"/>
    <w:rsid w:val="004F0CB5"/>
    <w:rsid w:val="004F1116"/>
    <w:rsid w:val="004F496C"/>
    <w:rsid w:val="004F6905"/>
    <w:rsid w:val="004F6E10"/>
    <w:rsid w:val="00500763"/>
    <w:rsid w:val="005008B8"/>
    <w:rsid w:val="00501EE8"/>
    <w:rsid w:val="005024F4"/>
    <w:rsid w:val="00505038"/>
    <w:rsid w:val="00510224"/>
    <w:rsid w:val="00511ED3"/>
    <w:rsid w:val="00521980"/>
    <w:rsid w:val="00522DC7"/>
    <w:rsid w:val="005230FA"/>
    <w:rsid w:val="00530124"/>
    <w:rsid w:val="00532596"/>
    <w:rsid w:val="00534AB1"/>
    <w:rsid w:val="00536868"/>
    <w:rsid w:val="0054141D"/>
    <w:rsid w:val="00543F1F"/>
    <w:rsid w:val="00545E14"/>
    <w:rsid w:val="00545F96"/>
    <w:rsid w:val="005526CA"/>
    <w:rsid w:val="00552907"/>
    <w:rsid w:val="00553825"/>
    <w:rsid w:val="005561B2"/>
    <w:rsid w:val="00556B2C"/>
    <w:rsid w:val="00557646"/>
    <w:rsid w:val="005622DF"/>
    <w:rsid w:val="00570607"/>
    <w:rsid w:val="005717E3"/>
    <w:rsid w:val="005724E3"/>
    <w:rsid w:val="00573C4D"/>
    <w:rsid w:val="005A454D"/>
    <w:rsid w:val="005A477C"/>
    <w:rsid w:val="005B08CA"/>
    <w:rsid w:val="005B155A"/>
    <w:rsid w:val="005B220D"/>
    <w:rsid w:val="005B27E2"/>
    <w:rsid w:val="005B3BB8"/>
    <w:rsid w:val="005B7343"/>
    <w:rsid w:val="005C3F3E"/>
    <w:rsid w:val="005C44AC"/>
    <w:rsid w:val="005D54C9"/>
    <w:rsid w:val="005D7987"/>
    <w:rsid w:val="005E0927"/>
    <w:rsid w:val="005E220C"/>
    <w:rsid w:val="005E25F1"/>
    <w:rsid w:val="005E3807"/>
    <w:rsid w:val="005E5718"/>
    <w:rsid w:val="005E5DAB"/>
    <w:rsid w:val="005E6FCF"/>
    <w:rsid w:val="005F0FBE"/>
    <w:rsid w:val="005F2701"/>
    <w:rsid w:val="005F5B04"/>
    <w:rsid w:val="006002C8"/>
    <w:rsid w:val="00600689"/>
    <w:rsid w:val="00603BD3"/>
    <w:rsid w:val="00616686"/>
    <w:rsid w:val="00616999"/>
    <w:rsid w:val="00620764"/>
    <w:rsid w:val="00620C07"/>
    <w:rsid w:val="00621C71"/>
    <w:rsid w:val="00622777"/>
    <w:rsid w:val="00622F54"/>
    <w:rsid w:val="00624F17"/>
    <w:rsid w:val="0062724B"/>
    <w:rsid w:val="00641665"/>
    <w:rsid w:val="00645E7A"/>
    <w:rsid w:val="006467DD"/>
    <w:rsid w:val="006475C5"/>
    <w:rsid w:val="006479D7"/>
    <w:rsid w:val="00651889"/>
    <w:rsid w:val="00651D68"/>
    <w:rsid w:val="00653A15"/>
    <w:rsid w:val="006565F2"/>
    <w:rsid w:val="00660B1B"/>
    <w:rsid w:val="00661266"/>
    <w:rsid w:val="0066256F"/>
    <w:rsid w:val="00671304"/>
    <w:rsid w:val="00673C51"/>
    <w:rsid w:val="00680367"/>
    <w:rsid w:val="006822E8"/>
    <w:rsid w:val="00683F09"/>
    <w:rsid w:val="00683F2C"/>
    <w:rsid w:val="00684C84"/>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49B0"/>
    <w:rsid w:val="006D56DD"/>
    <w:rsid w:val="006D6D03"/>
    <w:rsid w:val="006D6F34"/>
    <w:rsid w:val="006E077F"/>
    <w:rsid w:val="006E3497"/>
    <w:rsid w:val="006E37EB"/>
    <w:rsid w:val="006E4590"/>
    <w:rsid w:val="006E794F"/>
    <w:rsid w:val="006F0004"/>
    <w:rsid w:val="006F3882"/>
    <w:rsid w:val="006F452D"/>
    <w:rsid w:val="00700177"/>
    <w:rsid w:val="007024FE"/>
    <w:rsid w:val="00702AC5"/>
    <w:rsid w:val="007044E0"/>
    <w:rsid w:val="00704899"/>
    <w:rsid w:val="00706D8B"/>
    <w:rsid w:val="00710CC7"/>
    <w:rsid w:val="007133BB"/>
    <w:rsid w:val="00713515"/>
    <w:rsid w:val="00717588"/>
    <w:rsid w:val="007216EB"/>
    <w:rsid w:val="00724C09"/>
    <w:rsid w:val="00726837"/>
    <w:rsid w:val="00727767"/>
    <w:rsid w:val="0073229D"/>
    <w:rsid w:val="00732818"/>
    <w:rsid w:val="0073549E"/>
    <w:rsid w:val="00735B31"/>
    <w:rsid w:val="00737813"/>
    <w:rsid w:val="00737D7E"/>
    <w:rsid w:val="007402A9"/>
    <w:rsid w:val="00740525"/>
    <w:rsid w:val="00744641"/>
    <w:rsid w:val="00744C37"/>
    <w:rsid w:val="00744E2E"/>
    <w:rsid w:val="00744F60"/>
    <w:rsid w:val="00746414"/>
    <w:rsid w:val="007519E3"/>
    <w:rsid w:val="00755485"/>
    <w:rsid w:val="00761A8D"/>
    <w:rsid w:val="007644BB"/>
    <w:rsid w:val="00764935"/>
    <w:rsid w:val="00766474"/>
    <w:rsid w:val="007668C3"/>
    <w:rsid w:val="00766D39"/>
    <w:rsid w:val="00767EB4"/>
    <w:rsid w:val="00772303"/>
    <w:rsid w:val="00775356"/>
    <w:rsid w:val="007771B7"/>
    <w:rsid w:val="00777374"/>
    <w:rsid w:val="0077774D"/>
    <w:rsid w:val="00777804"/>
    <w:rsid w:val="007802A0"/>
    <w:rsid w:val="00782EDA"/>
    <w:rsid w:val="00786FC5"/>
    <w:rsid w:val="00786FDE"/>
    <w:rsid w:val="007877E2"/>
    <w:rsid w:val="007919A8"/>
    <w:rsid w:val="00792391"/>
    <w:rsid w:val="00794C8F"/>
    <w:rsid w:val="00794D60"/>
    <w:rsid w:val="0079762E"/>
    <w:rsid w:val="007A0070"/>
    <w:rsid w:val="007A2239"/>
    <w:rsid w:val="007A2439"/>
    <w:rsid w:val="007A5229"/>
    <w:rsid w:val="007A6228"/>
    <w:rsid w:val="007A701D"/>
    <w:rsid w:val="007B1A09"/>
    <w:rsid w:val="007B4268"/>
    <w:rsid w:val="007B4D87"/>
    <w:rsid w:val="007B57F3"/>
    <w:rsid w:val="007C1924"/>
    <w:rsid w:val="007C1A6E"/>
    <w:rsid w:val="007C6682"/>
    <w:rsid w:val="007C70E1"/>
    <w:rsid w:val="007C7F5C"/>
    <w:rsid w:val="007D1712"/>
    <w:rsid w:val="007D1ACA"/>
    <w:rsid w:val="007D3488"/>
    <w:rsid w:val="007D5517"/>
    <w:rsid w:val="007E41DB"/>
    <w:rsid w:val="007E4BA3"/>
    <w:rsid w:val="007E5893"/>
    <w:rsid w:val="007E5E47"/>
    <w:rsid w:val="007E7C97"/>
    <w:rsid w:val="007F30C3"/>
    <w:rsid w:val="007F3722"/>
    <w:rsid w:val="00801984"/>
    <w:rsid w:val="00801EBD"/>
    <w:rsid w:val="008024AE"/>
    <w:rsid w:val="00802FDF"/>
    <w:rsid w:val="00807B50"/>
    <w:rsid w:val="0081339C"/>
    <w:rsid w:val="00815A0F"/>
    <w:rsid w:val="00822506"/>
    <w:rsid w:val="00823ABE"/>
    <w:rsid w:val="00827811"/>
    <w:rsid w:val="008311E9"/>
    <w:rsid w:val="00836641"/>
    <w:rsid w:val="0084266F"/>
    <w:rsid w:val="00844CAF"/>
    <w:rsid w:val="00846D39"/>
    <w:rsid w:val="008479DA"/>
    <w:rsid w:val="00850233"/>
    <w:rsid w:val="008528B3"/>
    <w:rsid w:val="00856E09"/>
    <w:rsid w:val="0085714C"/>
    <w:rsid w:val="008579D0"/>
    <w:rsid w:val="008619D3"/>
    <w:rsid w:val="00861F33"/>
    <w:rsid w:val="008629DD"/>
    <w:rsid w:val="008646E3"/>
    <w:rsid w:val="008673DE"/>
    <w:rsid w:val="008718AA"/>
    <w:rsid w:val="0087478D"/>
    <w:rsid w:val="00875969"/>
    <w:rsid w:val="0087671F"/>
    <w:rsid w:val="00881450"/>
    <w:rsid w:val="00884E8A"/>
    <w:rsid w:val="00886A0D"/>
    <w:rsid w:val="00890086"/>
    <w:rsid w:val="00893EFF"/>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51EF"/>
    <w:rsid w:val="008C53AC"/>
    <w:rsid w:val="008C625F"/>
    <w:rsid w:val="008C7FF3"/>
    <w:rsid w:val="008D14AB"/>
    <w:rsid w:val="008D3670"/>
    <w:rsid w:val="008D705E"/>
    <w:rsid w:val="008E1570"/>
    <w:rsid w:val="008E5C29"/>
    <w:rsid w:val="008E709C"/>
    <w:rsid w:val="008E71A1"/>
    <w:rsid w:val="008E7402"/>
    <w:rsid w:val="008E7A18"/>
    <w:rsid w:val="008F08D7"/>
    <w:rsid w:val="008F43A7"/>
    <w:rsid w:val="008F74EE"/>
    <w:rsid w:val="009009F5"/>
    <w:rsid w:val="00911107"/>
    <w:rsid w:val="0091197B"/>
    <w:rsid w:val="00915983"/>
    <w:rsid w:val="00917542"/>
    <w:rsid w:val="00923A1B"/>
    <w:rsid w:val="0092619B"/>
    <w:rsid w:val="00930F75"/>
    <w:rsid w:val="00935350"/>
    <w:rsid w:val="009402E0"/>
    <w:rsid w:val="00941CE4"/>
    <w:rsid w:val="00947923"/>
    <w:rsid w:val="00951960"/>
    <w:rsid w:val="00951DCC"/>
    <w:rsid w:val="009536B8"/>
    <w:rsid w:val="00954699"/>
    <w:rsid w:val="0095776A"/>
    <w:rsid w:val="009615BD"/>
    <w:rsid w:val="009626B2"/>
    <w:rsid w:val="0096274E"/>
    <w:rsid w:val="009647B2"/>
    <w:rsid w:val="00964A0D"/>
    <w:rsid w:val="00965FFA"/>
    <w:rsid w:val="00966C1F"/>
    <w:rsid w:val="009711D8"/>
    <w:rsid w:val="0097652F"/>
    <w:rsid w:val="00982382"/>
    <w:rsid w:val="00982786"/>
    <w:rsid w:val="009836E9"/>
    <w:rsid w:val="0099103A"/>
    <w:rsid w:val="0099215D"/>
    <w:rsid w:val="0099686F"/>
    <w:rsid w:val="00996A50"/>
    <w:rsid w:val="009A5F65"/>
    <w:rsid w:val="009B051F"/>
    <w:rsid w:val="009B1ACD"/>
    <w:rsid w:val="009B1AED"/>
    <w:rsid w:val="009B3D8F"/>
    <w:rsid w:val="009B4721"/>
    <w:rsid w:val="009C1D55"/>
    <w:rsid w:val="009C26A4"/>
    <w:rsid w:val="009C26B3"/>
    <w:rsid w:val="009C3E43"/>
    <w:rsid w:val="009C76E5"/>
    <w:rsid w:val="009C7A5B"/>
    <w:rsid w:val="009D0A54"/>
    <w:rsid w:val="009D3EA6"/>
    <w:rsid w:val="009D49C7"/>
    <w:rsid w:val="009D6353"/>
    <w:rsid w:val="009E10CE"/>
    <w:rsid w:val="009E2570"/>
    <w:rsid w:val="009E6166"/>
    <w:rsid w:val="009F05ED"/>
    <w:rsid w:val="009F0D7E"/>
    <w:rsid w:val="009F2460"/>
    <w:rsid w:val="009F485D"/>
    <w:rsid w:val="009F7D37"/>
    <w:rsid w:val="00A001CD"/>
    <w:rsid w:val="00A0268C"/>
    <w:rsid w:val="00A02F7B"/>
    <w:rsid w:val="00A0421C"/>
    <w:rsid w:val="00A126DB"/>
    <w:rsid w:val="00A14646"/>
    <w:rsid w:val="00A15CD9"/>
    <w:rsid w:val="00A24587"/>
    <w:rsid w:val="00A24DED"/>
    <w:rsid w:val="00A254DA"/>
    <w:rsid w:val="00A27628"/>
    <w:rsid w:val="00A27FDF"/>
    <w:rsid w:val="00A32111"/>
    <w:rsid w:val="00A326F1"/>
    <w:rsid w:val="00A33E4D"/>
    <w:rsid w:val="00A33FB0"/>
    <w:rsid w:val="00A405F0"/>
    <w:rsid w:val="00A41502"/>
    <w:rsid w:val="00A45C3E"/>
    <w:rsid w:val="00A468CC"/>
    <w:rsid w:val="00A472DC"/>
    <w:rsid w:val="00A47726"/>
    <w:rsid w:val="00A513C0"/>
    <w:rsid w:val="00A51AF4"/>
    <w:rsid w:val="00A52208"/>
    <w:rsid w:val="00A55867"/>
    <w:rsid w:val="00A56171"/>
    <w:rsid w:val="00A5623A"/>
    <w:rsid w:val="00A5762E"/>
    <w:rsid w:val="00A6110E"/>
    <w:rsid w:val="00A621E7"/>
    <w:rsid w:val="00A63A82"/>
    <w:rsid w:val="00A659E6"/>
    <w:rsid w:val="00A709FD"/>
    <w:rsid w:val="00A73235"/>
    <w:rsid w:val="00A751A1"/>
    <w:rsid w:val="00A75FDF"/>
    <w:rsid w:val="00A81BA1"/>
    <w:rsid w:val="00A83422"/>
    <w:rsid w:val="00A8373F"/>
    <w:rsid w:val="00A916B8"/>
    <w:rsid w:val="00A91E4C"/>
    <w:rsid w:val="00A925AF"/>
    <w:rsid w:val="00A93425"/>
    <w:rsid w:val="00A951B5"/>
    <w:rsid w:val="00AA1107"/>
    <w:rsid w:val="00AA395F"/>
    <w:rsid w:val="00AA55E5"/>
    <w:rsid w:val="00AA61AD"/>
    <w:rsid w:val="00AA671E"/>
    <w:rsid w:val="00AA7D57"/>
    <w:rsid w:val="00AB0A2C"/>
    <w:rsid w:val="00AB0B27"/>
    <w:rsid w:val="00AB195E"/>
    <w:rsid w:val="00AB3CF2"/>
    <w:rsid w:val="00AB460A"/>
    <w:rsid w:val="00AC5F7D"/>
    <w:rsid w:val="00AC6487"/>
    <w:rsid w:val="00AD1BDC"/>
    <w:rsid w:val="00AE3ADC"/>
    <w:rsid w:val="00AF075F"/>
    <w:rsid w:val="00AF75E5"/>
    <w:rsid w:val="00B055EB"/>
    <w:rsid w:val="00B173EE"/>
    <w:rsid w:val="00B1764C"/>
    <w:rsid w:val="00B17B14"/>
    <w:rsid w:val="00B201A8"/>
    <w:rsid w:val="00B23713"/>
    <w:rsid w:val="00B26056"/>
    <w:rsid w:val="00B2767E"/>
    <w:rsid w:val="00B27A4D"/>
    <w:rsid w:val="00B32119"/>
    <w:rsid w:val="00B354C6"/>
    <w:rsid w:val="00B4342F"/>
    <w:rsid w:val="00B43541"/>
    <w:rsid w:val="00B440C3"/>
    <w:rsid w:val="00B5004E"/>
    <w:rsid w:val="00B56D3A"/>
    <w:rsid w:val="00B609FC"/>
    <w:rsid w:val="00B64E51"/>
    <w:rsid w:val="00B6663B"/>
    <w:rsid w:val="00B676AB"/>
    <w:rsid w:val="00B70931"/>
    <w:rsid w:val="00B74482"/>
    <w:rsid w:val="00B7536B"/>
    <w:rsid w:val="00B819C1"/>
    <w:rsid w:val="00B81C51"/>
    <w:rsid w:val="00B8464B"/>
    <w:rsid w:val="00B908C3"/>
    <w:rsid w:val="00B91092"/>
    <w:rsid w:val="00B92B61"/>
    <w:rsid w:val="00B92E0A"/>
    <w:rsid w:val="00B9302E"/>
    <w:rsid w:val="00B94038"/>
    <w:rsid w:val="00B940F5"/>
    <w:rsid w:val="00B943EF"/>
    <w:rsid w:val="00B94C2E"/>
    <w:rsid w:val="00B94D39"/>
    <w:rsid w:val="00BA3975"/>
    <w:rsid w:val="00BA3A3C"/>
    <w:rsid w:val="00BA7115"/>
    <w:rsid w:val="00BA7917"/>
    <w:rsid w:val="00BB3373"/>
    <w:rsid w:val="00BB43D9"/>
    <w:rsid w:val="00BB5014"/>
    <w:rsid w:val="00BB532F"/>
    <w:rsid w:val="00BC2542"/>
    <w:rsid w:val="00BC297F"/>
    <w:rsid w:val="00BC360A"/>
    <w:rsid w:val="00BC7A53"/>
    <w:rsid w:val="00BD06B9"/>
    <w:rsid w:val="00BD0B76"/>
    <w:rsid w:val="00BD2869"/>
    <w:rsid w:val="00BD475A"/>
    <w:rsid w:val="00BE1E4A"/>
    <w:rsid w:val="00BE63F6"/>
    <w:rsid w:val="00BF0C6A"/>
    <w:rsid w:val="00BF2B89"/>
    <w:rsid w:val="00BF3CCD"/>
    <w:rsid w:val="00BF4C58"/>
    <w:rsid w:val="00BF6B01"/>
    <w:rsid w:val="00C0177A"/>
    <w:rsid w:val="00C032C8"/>
    <w:rsid w:val="00C074E9"/>
    <w:rsid w:val="00C10A3B"/>
    <w:rsid w:val="00C11912"/>
    <w:rsid w:val="00C11D0F"/>
    <w:rsid w:val="00C11F50"/>
    <w:rsid w:val="00C124BB"/>
    <w:rsid w:val="00C16484"/>
    <w:rsid w:val="00C17974"/>
    <w:rsid w:val="00C210BF"/>
    <w:rsid w:val="00C23FD6"/>
    <w:rsid w:val="00C260F9"/>
    <w:rsid w:val="00C26CB7"/>
    <w:rsid w:val="00C27388"/>
    <w:rsid w:val="00C31E80"/>
    <w:rsid w:val="00C335B7"/>
    <w:rsid w:val="00C345C7"/>
    <w:rsid w:val="00C35983"/>
    <w:rsid w:val="00C35B52"/>
    <w:rsid w:val="00C36DEF"/>
    <w:rsid w:val="00C423BF"/>
    <w:rsid w:val="00C5188D"/>
    <w:rsid w:val="00C518D1"/>
    <w:rsid w:val="00C523F3"/>
    <w:rsid w:val="00C5569B"/>
    <w:rsid w:val="00C603A3"/>
    <w:rsid w:val="00C6263B"/>
    <w:rsid w:val="00C62B7F"/>
    <w:rsid w:val="00C64432"/>
    <w:rsid w:val="00C64E70"/>
    <w:rsid w:val="00C653A3"/>
    <w:rsid w:val="00C66602"/>
    <w:rsid w:val="00C67B03"/>
    <w:rsid w:val="00C71495"/>
    <w:rsid w:val="00C72EC1"/>
    <w:rsid w:val="00C7503E"/>
    <w:rsid w:val="00C75209"/>
    <w:rsid w:val="00C84BAD"/>
    <w:rsid w:val="00C8749F"/>
    <w:rsid w:val="00C91CA6"/>
    <w:rsid w:val="00C9685D"/>
    <w:rsid w:val="00CA0F85"/>
    <w:rsid w:val="00CA336B"/>
    <w:rsid w:val="00CA4560"/>
    <w:rsid w:val="00CA6DD4"/>
    <w:rsid w:val="00CB3E39"/>
    <w:rsid w:val="00CB4917"/>
    <w:rsid w:val="00CB4F35"/>
    <w:rsid w:val="00CB7793"/>
    <w:rsid w:val="00CC0BE0"/>
    <w:rsid w:val="00CC23CB"/>
    <w:rsid w:val="00CC2859"/>
    <w:rsid w:val="00CC2D7D"/>
    <w:rsid w:val="00CC30B4"/>
    <w:rsid w:val="00CC33F6"/>
    <w:rsid w:val="00CC42F5"/>
    <w:rsid w:val="00CC5BA2"/>
    <w:rsid w:val="00CD1D46"/>
    <w:rsid w:val="00CD4C69"/>
    <w:rsid w:val="00CD5B20"/>
    <w:rsid w:val="00CD7073"/>
    <w:rsid w:val="00CD736E"/>
    <w:rsid w:val="00CE1BB5"/>
    <w:rsid w:val="00CE4DDC"/>
    <w:rsid w:val="00CE4E7D"/>
    <w:rsid w:val="00D10740"/>
    <w:rsid w:val="00D10C30"/>
    <w:rsid w:val="00D10DE1"/>
    <w:rsid w:val="00D1231D"/>
    <w:rsid w:val="00D1575C"/>
    <w:rsid w:val="00D2230B"/>
    <w:rsid w:val="00D22BB2"/>
    <w:rsid w:val="00D25878"/>
    <w:rsid w:val="00D3131B"/>
    <w:rsid w:val="00D324ED"/>
    <w:rsid w:val="00D343E3"/>
    <w:rsid w:val="00D34553"/>
    <w:rsid w:val="00D347D3"/>
    <w:rsid w:val="00D372BE"/>
    <w:rsid w:val="00D4736B"/>
    <w:rsid w:val="00D50C43"/>
    <w:rsid w:val="00D50E10"/>
    <w:rsid w:val="00D555FD"/>
    <w:rsid w:val="00D55CAA"/>
    <w:rsid w:val="00D568B9"/>
    <w:rsid w:val="00D6171C"/>
    <w:rsid w:val="00D623AF"/>
    <w:rsid w:val="00D631D1"/>
    <w:rsid w:val="00D72621"/>
    <w:rsid w:val="00D76AA6"/>
    <w:rsid w:val="00D863A5"/>
    <w:rsid w:val="00D90C29"/>
    <w:rsid w:val="00D919C6"/>
    <w:rsid w:val="00D94435"/>
    <w:rsid w:val="00D94CEE"/>
    <w:rsid w:val="00DA639C"/>
    <w:rsid w:val="00DA6610"/>
    <w:rsid w:val="00DA6632"/>
    <w:rsid w:val="00DA6788"/>
    <w:rsid w:val="00DB118E"/>
    <w:rsid w:val="00DB1B03"/>
    <w:rsid w:val="00DB3AA8"/>
    <w:rsid w:val="00DB48F9"/>
    <w:rsid w:val="00DB517C"/>
    <w:rsid w:val="00DB5438"/>
    <w:rsid w:val="00DB5960"/>
    <w:rsid w:val="00DB5B6A"/>
    <w:rsid w:val="00DB67D0"/>
    <w:rsid w:val="00DB69C5"/>
    <w:rsid w:val="00DC229C"/>
    <w:rsid w:val="00DC3EB4"/>
    <w:rsid w:val="00DD6806"/>
    <w:rsid w:val="00DD696D"/>
    <w:rsid w:val="00DE0E3D"/>
    <w:rsid w:val="00DE1065"/>
    <w:rsid w:val="00DE3670"/>
    <w:rsid w:val="00DE4ADF"/>
    <w:rsid w:val="00DF1579"/>
    <w:rsid w:val="00DF76A8"/>
    <w:rsid w:val="00E00302"/>
    <w:rsid w:val="00E02D61"/>
    <w:rsid w:val="00E0312A"/>
    <w:rsid w:val="00E0391C"/>
    <w:rsid w:val="00E05395"/>
    <w:rsid w:val="00E065CD"/>
    <w:rsid w:val="00E1041D"/>
    <w:rsid w:val="00E1090B"/>
    <w:rsid w:val="00E12FD3"/>
    <w:rsid w:val="00E13962"/>
    <w:rsid w:val="00E14226"/>
    <w:rsid w:val="00E145FF"/>
    <w:rsid w:val="00E15D83"/>
    <w:rsid w:val="00E22207"/>
    <w:rsid w:val="00E254E1"/>
    <w:rsid w:val="00E265BB"/>
    <w:rsid w:val="00E32C23"/>
    <w:rsid w:val="00E33512"/>
    <w:rsid w:val="00E3448B"/>
    <w:rsid w:val="00E3664E"/>
    <w:rsid w:val="00E424EF"/>
    <w:rsid w:val="00E426F4"/>
    <w:rsid w:val="00E428A7"/>
    <w:rsid w:val="00E44B84"/>
    <w:rsid w:val="00E523D7"/>
    <w:rsid w:val="00E534BB"/>
    <w:rsid w:val="00E53AD7"/>
    <w:rsid w:val="00E56CA3"/>
    <w:rsid w:val="00E60D8E"/>
    <w:rsid w:val="00E64FE5"/>
    <w:rsid w:val="00E71733"/>
    <w:rsid w:val="00E74735"/>
    <w:rsid w:val="00E748DE"/>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3822"/>
    <w:rsid w:val="00EB3E63"/>
    <w:rsid w:val="00EB553F"/>
    <w:rsid w:val="00EB59E1"/>
    <w:rsid w:val="00EB7657"/>
    <w:rsid w:val="00EC0F7E"/>
    <w:rsid w:val="00EC50BD"/>
    <w:rsid w:val="00EC7B1F"/>
    <w:rsid w:val="00ED1D9A"/>
    <w:rsid w:val="00ED35B0"/>
    <w:rsid w:val="00ED404E"/>
    <w:rsid w:val="00ED5262"/>
    <w:rsid w:val="00ED56B0"/>
    <w:rsid w:val="00EE36D4"/>
    <w:rsid w:val="00EE6308"/>
    <w:rsid w:val="00EE689F"/>
    <w:rsid w:val="00EF1599"/>
    <w:rsid w:val="00EF3855"/>
    <w:rsid w:val="00EF4262"/>
    <w:rsid w:val="00EF493F"/>
    <w:rsid w:val="00EF62BC"/>
    <w:rsid w:val="00F127D3"/>
    <w:rsid w:val="00F14EB6"/>
    <w:rsid w:val="00F2356D"/>
    <w:rsid w:val="00F24629"/>
    <w:rsid w:val="00F251E4"/>
    <w:rsid w:val="00F30414"/>
    <w:rsid w:val="00F36D06"/>
    <w:rsid w:val="00F37E4C"/>
    <w:rsid w:val="00F42A08"/>
    <w:rsid w:val="00F44F1B"/>
    <w:rsid w:val="00F4777B"/>
    <w:rsid w:val="00F5079C"/>
    <w:rsid w:val="00F51541"/>
    <w:rsid w:val="00F522E8"/>
    <w:rsid w:val="00F52662"/>
    <w:rsid w:val="00F54738"/>
    <w:rsid w:val="00F55B96"/>
    <w:rsid w:val="00F56DD5"/>
    <w:rsid w:val="00F5725C"/>
    <w:rsid w:val="00F57A66"/>
    <w:rsid w:val="00F708EA"/>
    <w:rsid w:val="00F713EB"/>
    <w:rsid w:val="00F77CB7"/>
    <w:rsid w:val="00F809AA"/>
    <w:rsid w:val="00F80C91"/>
    <w:rsid w:val="00F80F5B"/>
    <w:rsid w:val="00F8295F"/>
    <w:rsid w:val="00F87658"/>
    <w:rsid w:val="00F90CF9"/>
    <w:rsid w:val="00F916D4"/>
    <w:rsid w:val="00FA1F24"/>
    <w:rsid w:val="00FA20C3"/>
    <w:rsid w:val="00FA20CB"/>
    <w:rsid w:val="00FA54D9"/>
    <w:rsid w:val="00FB008B"/>
    <w:rsid w:val="00FB099C"/>
    <w:rsid w:val="00FB4C15"/>
    <w:rsid w:val="00FB6910"/>
    <w:rsid w:val="00FC04B8"/>
    <w:rsid w:val="00FC2F1F"/>
    <w:rsid w:val="00FD2E52"/>
    <w:rsid w:val="00FD5A43"/>
    <w:rsid w:val="00FD624A"/>
    <w:rsid w:val="00FE00E6"/>
    <w:rsid w:val="00FE6486"/>
    <w:rsid w:val="00FF31EB"/>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C2223D"/>
  <w15:chartTrackingRefBased/>
  <w15:docId w15:val="{7E4EA5FF-7104-478F-87C4-B19B427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tabs>
        <w:tab w:val="num" w:pos="1077"/>
      </w:tabs>
      <w:spacing w:after="240"/>
      <w:ind w:left="1077" w:hanging="595"/>
      <w:jc w:val="both"/>
      <w:outlineLvl w:val="1"/>
    </w:pPr>
    <w:rPr>
      <w:b/>
      <w:szCs w:val="20"/>
    </w:rPr>
  </w:style>
  <w:style w:type="paragraph" w:styleId="Heading3">
    <w:name w:val="heading 3"/>
    <w:basedOn w:val="Normal"/>
    <w:next w:val="Normal"/>
    <w:link w:val="Heading3Char1"/>
    <w:qFormat/>
    <w:pPr>
      <w:keepNext/>
      <w:tabs>
        <w:tab w:val="num" w:pos="2609"/>
      </w:tabs>
      <w:spacing w:after="240"/>
      <w:ind w:left="4525" w:hanging="839"/>
      <w:jc w:val="both"/>
      <w:outlineLvl w:val="2"/>
    </w:pPr>
    <w:rPr>
      <w:i/>
      <w:szCs w:val="20"/>
    </w:rPr>
  </w:style>
  <w:style w:type="paragraph" w:styleId="Heading4">
    <w:name w:val="heading 4"/>
    <w:basedOn w:val="Normal"/>
    <w:next w:val="Normal"/>
    <w:link w:val="Heading4Char1"/>
    <w:qFormat/>
    <w:pPr>
      <w:keepNext/>
      <w:tabs>
        <w:tab w:val="num" w:pos="0"/>
      </w:tabs>
      <w:spacing w:after="240"/>
      <w:ind w:left="2880" w:hanging="708"/>
      <w:jc w:val="both"/>
      <w:outlineLvl w:val="3"/>
    </w:pPr>
    <w:rPr>
      <w:szCs w:val="20"/>
    </w:rPr>
  </w:style>
  <w:style w:type="paragraph" w:styleId="Heading5">
    <w:name w:val="heading 5"/>
    <w:basedOn w:val="Normal"/>
    <w:next w:val="Normal"/>
    <w:link w:val="Heading5Char1"/>
    <w:qFormat/>
    <w:pPr>
      <w:tabs>
        <w:tab w:val="num" w:pos="0"/>
      </w:tabs>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1"/>
    <w:qFormat/>
    <w:pPr>
      <w:tabs>
        <w:tab w:val="num" w:pos="0"/>
      </w:tabs>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pPr>
      <w:tabs>
        <w:tab w:val="num" w:pos="0"/>
      </w:tabs>
      <w:spacing w:before="240" w:after="60"/>
      <w:ind w:left="4748" w:hanging="708"/>
      <w:jc w:val="both"/>
      <w:outlineLvl w:val="6"/>
    </w:pPr>
    <w:rPr>
      <w:rFonts w:ascii="Arial" w:hAnsi="Arial"/>
      <w:sz w:val="20"/>
      <w:szCs w:val="20"/>
    </w:rPr>
  </w:style>
  <w:style w:type="paragraph" w:styleId="Heading8">
    <w:name w:val="heading 8"/>
    <w:basedOn w:val="Normal"/>
    <w:next w:val="Normal"/>
    <w:link w:val="PageNumber"/>
    <w:qFormat/>
    <w:pPr>
      <w:tabs>
        <w:tab w:val="num" w:pos="0"/>
      </w:tabs>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pPr>
      <w:tabs>
        <w:tab w:val="num" w:pos="0"/>
      </w:tabs>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semiHidden/>
    <w:locked/>
    <w:rPr>
      <w:rFonts w:ascii="Times New Roman" w:hAnsi="Times New Roman" w:cs="Times New Roman"/>
      <w:sz w:val="24"/>
      <w:szCs w:val="24"/>
      <w:lang w:val="fr-FR"/>
    </w:rPr>
  </w:style>
  <w:style w:type="character" w:customStyle="1" w:styleId="Heading2Char1">
    <w:name w:val="Heading 2 Char1"/>
    <w:aliases w:val="Article clauses administratives Char1"/>
    <w:link w:val="Heading2"/>
    <w:semiHidden/>
    <w:locked/>
    <w:rPr>
      <w:rFonts w:ascii="Times New Roman" w:hAnsi="Times New Roman" w:cs="Times New Roman"/>
      <w:i/>
      <w:iCs/>
      <w:sz w:val="24"/>
      <w:szCs w:val="24"/>
      <w:lang w:val="fr-FR"/>
    </w:rPr>
  </w:style>
  <w:style w:type="character" w:customStyle="1" w:styleId="Heading3Char1">
    <w:name w:val="Heading 3 Char1"/>
    <w:link w:val="Heading3"/>
    <w:semiHidden/>
    <w:locked/>
    <w:rPr>
      <w:rFonts w:ascii="Times New Roman" w:hAnsi="Times New Roman" w:cs="Times New Roman"/>
      <w:sz w:val="22"/>
      <w:szCs w:val="22"/>
      <w:lang w:val="fr-FR"/>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semiHidden/>
    <w:locked/>
    <w:rPr>
      <w:rFonts w:cs="Times New Roman"/>
      <w:sz w:val="24"/>
      <w:szCs w:val="24"/>
      <w:lang w:val="fr-FR"/>
    </w:rPr>
  </w:style>
  <w:style w:type="paragraph" w:styleId="Footer">
    <w:name w:val="footer"/>
    <w:basedOn w:val="Normal"/>
    <w:link w:val="FooterChar"/>
    <w:uiPriority w:val="99"/>
    <w:pPr>
      <w:tabs>
        <w:tab w:val="center" w:pos="4535"/>
        <w:tab w:val="right" w:pos="9071"/>
      </w:tabs>
      <w:spacing w:before="240" w:after="240"/>
    </w:pPr>
    <w:rPr>
      <w:sz w:val="22"/>
    </w:rPr>
  </w:style>
  <w:style w:type="character" w:customStyle="1" w:styleId="Heading5Char1">
    <w:name w:val="Heading 5 Char1"/>
    <w:link w:val="Heading5"/>
    <w:semiHidden/>
    <w:locked/>
    <w:rPr>
      <w:rFonts w:cs="Times New Roman"/>
      <w:sz w:val="24"/>
      <w:szCs w:val="24"/>
      <w:lang w:val="en-GB" w:bidi="ar-SA"/>
    </w:rPr>
  </w:style>
  <w:style w:type="paragraph" w:styleId="FootnoteText">
    <w:name w:val="footnote text"/>
    <w:basedOn w:val="Normal"/>
    <w:link w:val="FootnoteTextChar"/>
    <w:semiHidden/>
    <w:pPr>
      <w:spacing w:after="240"/>
      <w:ind w:left="357" w:hanging="357"/>
      <w:jc w:val="both"/>
    </w:pPr>
    <w:rPr>
      <w:sz w:val="20"/>
      <w:szCs w:val="20"/>
    </w:rPr>
  </w:style>
  <w:style w:type="character" w:customStyle="1" w:styleId="Heading6Char1">
    <w:name w:val="Heading 6 Char1"/>
    <w:link w:val="Heading6"/>
    <w:semiHidden/>
    <w:locked/>
    <w:rPr>
      <w:rFonts w:cs="Times New Roman"/>
      <w:lang w:val="fr-FR"/>
    </w:rPr>
  </w:style>
  <w:style w:type="character" w:styleId="FootnoteReference">
    <w:name w:val="footnote reference"/>
    <w:aliases w:val="Header Char1"/>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cs="Times New Roman"/>
      <w:sz w:val="24"/>
      <w:lang w:val="en-GB" w:bidi="ar-SA"/>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cs="Times New Roman"/>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ilvl w:val="1"/>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9"/>
      </w:numPr>
    </w:pPr>
  </w:style>
  <w:style w:type="paragraph" w:styleId="BalloonText">
    <w:name w:val="Balloon Text"/>
    <w:basedOn w:val="Normal"/>
    <w:semiHidden/>
    <w:rPr>
      <w:sz w:val="16"/>
      <w:szCs w:val="16"/>
    </w:rPr>
  </w:style>
  <w:style w:type="character" w:customStyle="1" w:styleId="Heading9Char">
    <w:name w:val="Heading 9 Char"/>
    <w:link w:val="Heading9"/>
    <w:semiHidden/>
    <w:locked/>
    <w:rPr>
      <w:rFonts w:cs="Times New Roman"/>
      <w:sz w:val="2"/>
      <w:lang w:val="fr-FR"/>
    </w:rPr>
  </w:style>
  <w:style w:type="character" w:styleId="CommentReference">
    <w:name w:val="annotation reference"/>
    <w:semiHidden/>
    <w:rPr>
      <w:rFonts w:cs="Times New Roman"/>
      <w:sz w:val="16"/>
      <w:szCs w:val="16"/>
    </w:rPr>
  </w:style>
  <w:style w:type="paragraph" w:styleId="CommentText">
    <w:name w:val="annotation text"/>
    <w:basedOn w:val="Normal"/>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10"/>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2"/>
      </w:numPr>
    </w:pPr>
    <w:rPr>
      <w:lang w:eastAsia="en-US"/>
    </w:rPr>
  </w:style>
  <w:style w:type="paragraph" w:customStyle="1" w:styleId="ListNumber1Level2">
    <w:name w:val="List Number 1 (Level 2)"/>
    <w:basedOn w:val="Text1"/>
    <w:rsid w:val="00BD475A"/>
    <w:pPr>
      <w:numPr>
        <w:ilvl w:val="1"/>
        <w:numId w:val="12"/>
      </w:numPr>
    </w:pPr>
    <w:rPr>
      <w:lang w:eastAsia="en-US"/>
    </w:rPr>
  </w:style>
  <w:style w:type="paragraph" w:customStyle="1" w:styleId="ListNumber1Level3">
    <w:name w:val="List Number 1 (Level 3)"/>
    <w:basedOn w:val="Text1"/>
    <w:rsid w:val="00BD475A"/>
    <w:pPr>
      <w:numPr>
        <w:ilvl w:val="2"/>
        <w:numId w:val="12"/>
      </w:numPr>
    </w:pPr>
    <w:rPr>
      <w:lang w:eastAsia="en-US"/>
    </w:rPr>
  </w:style>
  <w:style w:type="paragraph" w:customStyle="1" w:styleId="ListNumber1Level4">
    <w:name w:val="List Number 1 (Level 4)"/>
    <w:basedOn w:val="Text1"/>
    <w:rsid w:val="00BD475A"/>
    <w:pPr>
      <w:numPr>
        <w:ilvl w:val="3"/>
        <w:numId w:val="12"/>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styleId="ListParagraph">
    <w:name w:val="List Paragraph"/>
    <w:basedOn w:val="Normal"/>
    <w:uiPriority w:val="34"/>
    <w:qFormat/>
    <w:rsid w:val="008C53AC"/>
    <w:pPr>
      <w:ind w:left="720"/>
      <w:contextualSpacing/>
    </w:pPr>
  </w:style>
  <w:style w:type="character" w:customStyle="1" w:styleId="FootnoteTextChar">
    <w:name w:val="Footnote Text Char"/>
    <w:link w:val="FootnoteText"/>
    <w:semiHidden/>
    <w:rsid w:val="00A5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01982953">
      <w:bodyDiv w:val="1"/>
      <w:marLeft w:val="0"/>
      <w:marRight w:val="0"/>
      <w:marTop w:val="0"/>
      <w:marBottom w:val="0"/>
      <w:divBdr>
        <w:top w:val="none" w:sz="0" w:space="0" w:color="auto"/>
        <w:left w:val="none" w:sz="0" w:space="0" w:color="auto"/>
        <w:bottom w:val="none" w:sz="0" w:space="0" w:color="auto"/>
        <w:right w:val="none" w:sz="0" w:space="0" w:color="auto"/>
      </w:divBdr>
    </w:div>
    <w:div w:id="17760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7CC2-C57D-4379-9141-AED444DE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8805</Words>
  <Characters>49273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57963</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SaHughes</dc:creator>
  <cp:keywords/>
  <cp:lastModifiedBy>VOISIN Pierre-Yves</cp:lastModifiedBy>
  <cp:revision>11</cp:revision>
  <cp:lastPrinted>2020-05-20T12:14:00Z</cp:lastPrinted>
  <dcterms:created xsi:type="dcterms:W3CDTF">2020-06-12T12:16:00Z</dcterms:created>
  <dcterms:modified xsi:type="dcterms:W3CDTF">2020-07-28T17:34:00Z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